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400" w:after="280"/>
        <w:jc w:val="center"/>
      </w:pPr>
      <w:r>
        <w:rPr>
          <w:rFonts w:ascii="Aptos" w:hAnsi="Aptos"/>
          <w:b/>
          <w:i w:val="0"/>
          <w:color w:val="D9A441"/>
          <w:sz w:val="20"/>
        </w:rPr>
        <w:t>INTERIM EVIDENCE REPORT</w:t>
      </w:r>
    </w:p>
    <w:p>
      <w:pPr>
        <w:widowControl/>
        <w:spacing w:after="200"/>
        <w:jc w:val="center"/>
      </w:pPr>
      <w:r>
        <w:rPr>
          <w:rFonts w:ascii="Aptos Display" w:hAnsi="Aptos Display"/>
          <w:b/>
          <w:i w:val="0"/>
          <w:color w:val="18324A"/>
          <w:sz w:val="54"/>
        </w:rPr>
        <w:t>Colorado Can Protect Every</w:t>
        <w:br/>
        <w:t>Healthy and Treatable Shelter Pet</w:t>
      </w:r>
    </w:p>
    <w:p>
      <w:pPr>
        <w:widowControl/>
        <w:spacing w:after="480"/>
        <w:jc w:val="center"/>
      </w:pPr>
      <w:r>
        <w:rPr>
          <w:rFonts w:ascii="Aptos Display" w:hAnsi="Aptos Display"/>
          <w:b w:val="0"/>
          <w:i w:val="0"/>
          <w:color w:val="1F6F78"/>
          <w:sz w:val="27"/>
        </w:rPr>
        <w:t>What verified 2024–2025 PACFA data and the financial record show so far</w:t>
      </w:r>
    </w:p>
    <w:tbl>
      <w:tblPr>
        <w:tblW w:type="dxa" w:w="9360"/>
        <w:jc w:val="center"/>
        <w:tblLayout w:type="fixed"/>
        <w:tblLook w:firstColumn="1" w:firstRow="1" w:lastColumn="0" w:lastRow="0" w:noHBand="0" w:noVBand="1" w:val="04A0"/>
        <w:tblBorders>
          <w:top w:val="single" w:sz="2" w:color="E8F1F2"/>
          <w:left w:val="single" w:sz="2" w:color="E8F1F2"/>
          <w:bottom w:val="single" w:sz="2" w:color="E8F1F2"/>
          <w:right w:val="single" w:sz="2" w:color="E8F1F2"/>
          <w:insideH w:val="single" w:sz="2" w:color="E8F1F2"/>
          <w:insideV w:val="single" w:sz="2" w:color="E8F1F2"/>
        </w:tblBorders>
      </w:tblPr>
      <w:tblGrid>
        <w:gridCol w:w="9360"/>
      </w:tblGrid>
      <w:tr>
        <w:trPr>
          <w:tblHeader w:val="true"/>
        </w:trPr>
        <w:tc>
          <w:tcPr>
            <w:tcW w:type="dxa" w:w="9360"/>
            <w:tcMar>
              <w:top w:w="90" w:type="dxa"/>
              <w:start w:w="110" w:type="dxa"/>
              <w:bottom w:w="90" w:type="dxa"/>
              <w:end w:w="110" w:type="dxa"/>
            </w:tcMar>
            <w:vAlign w:val="center"/>
            <w:shd w:fill="E8F1F2"/>
          </w:tcPr>
          <w:p>
            <w:pPr>
              <w:widowControl/>
              <w:spacing w:after="0" w:line="259" w:lineRule="auto"/>
            </w:pPr>
            <w:r>
              <w:rPr>
                <w:rFonts w:ascii="Aptos" w:hAnsi="Aptos"/>
                <w:b/>
                <w:i w:val="0"/>
                <w:color w:val="18324A"/>
                <w:sz w:val="21"/>
              </w:rPr>
              <w:t xml:space="preserve">Central finding: </w:t>
            </w:r>
            <w:r>
              <w:rPr>
                <w:rFonts w:ascii="Aptos" w:hAnsi="Aptos"/>
                <w:b w:val="0"/>
                <w:i w:val="0"/>
                <w:color w:val="25313B"/>
                <w:sz w:val="21"/>
              </w:rPr>
              <w:t>Colorado already demonstrates substantial placement capacity. The remaining non-live outcomes are concentrated enough to support targeted action, but the available statewide data cannot yet determine how many involved healthy or treatable animals.</w:t>
            </w:r>
          </w:p>
        </w:tc>
      </w:tr>
    </w:tbl>
    <w:p>
      <w:pPr>
        <w:widowControl/>
        <w:spacing w:after="20"/>
      </w:pPr>
    </w:p>
    <w:p>
      <w:pPr>
        <w:widowControl/>
        <w:spacing w:before="1100" w:after="60"/>
        <w:jc w:val="center"/>
      </w:pPr>
      <w:r>
        <w:rPr>
          <w:rFonts w:ascii="Aptos" w:hAnsi="Aptos"/>
          <w:b/>
          <w:i w:val="0"/>
          <w:color w:val="18324A"/>
          <w:sz w:val="22"/>
        </w:rPr>
        <w:t>Independent research by Davyd</w:t>
      </w:r>
    </w:p>
    <w:p>
      <w:pPr>
        <w:widowControl/>
        <w:jc w:val="center"/>
      </w:pPr>
      <w:r>
        <w:rPr>
          <w:rFonts w:ascii="Aptos" w:hAnsi="Aptos"/>
          <w:b w:val="0"/>
          <w:i w:val="0"/>
          <w:color w:val="5E6B75"/>
          <w:sz w:val="20"/>
        </w:rPr>
        <w:t>July 24, 2026  |  Colorado</w:t>
      </w:r>
    </w:p>
    <w:p>
      <w:pPr>
        <w:widowControl/>
      </w:pPr>
      <w:r>
        <w:br w:type="page"/>
      </w:r>
    </w:p>
    <w:p>
      <w:pPr>
        <w:pStyle w:val="Heading1"/>
        <w:keepNext/>
        <w:widowControl/>
      </w:pPr>
      <w:r>
        <w:t>Executive Summary</w:t>
      </w:r>
    </w:p>
    <w:p>
      <w:pPr>
        <w:widowControl/>
        <w:spacing w:after="120" w:line="264" w:lineRule="auto"/>
      </w:pPr>
      <w:r>
        <w:rPr>
          <w:rFonts w:ascii="Aptos" w:hAnsi="Aptos"/>
          <w:b/>
          <w:i w:val="0"/>
          <w:color w:val="25313B"/>
          <w:sz w:val="21"/>
        </w:rPr>
        <w:t>Colorado’s shelter and rescue system is already operating at a scale that makes universal protection of healthy and treatable pets a credible statewide objective.</w:t>
      </w:r>
      <w:r>
        <w:rPr>
          <w:rFonts w:ascii="Aptos" w:hAnsi="Aptos"/>
          <w:b w:val="0"/>
          <w:i w:val="0"/>
          <w:color w:val="25313B"/>
          <w:sz w:val="21"/>
        </w:rPr>
        <w:t xml:space="preserve"> In 2025, PACFA-licensed organizations reported 162,496 dog and cat intakes and 149,944 live outcomes. They also reported 25,103 dog and cat transfers into Colorado from other states—evidence of a large placement network, though not proof that imported animals displaced local animals.</w:t>
      </w:r>
    </w:p>
    <w:p>
      <w:pPr>
        <w:widowControl/>
        <w:spacing w:after="120" w:line="264" w:lineRule="auto"/>
      </w:pPr>
      <w:r>
        <w:rPr>
          <w:rFonts w:ascii="Aptos" w:hAnsi="Aptos"/>
          <w:b/>
          <w:i w:val="0"/>
          <w:color w:val="25313B"/>
          <w:sz w:val="21"/>
        </w:rPr>
        <w:t>The remaining non-live outcomes are highly concentrated.</w:t>
      </w:r>
      <w:r>
        <w:rPr>
          <w:rFonts w:ascii="Aptos" w:hAnsi="Aptos"/>
          <w:b w:val="0"/>
          <w:i w:val="0"/>
          <w:color w:val="25313B"/>
          <w:sz w:val="21"/>
        </w:rPr>
        <w:t xml:space="preserve"> Seven economic parents accounted for 9,206—or 74.3%—of the 12,393 statewide dog/cat non-live outcomes reported in 2025. The three largest systems alone accounted for 54.4%. Concentration means statewide improvement does not require every organization to change equally; focused corrective work at a relatively small number of systems can produce disproportionate gains.</w:t>
      </w:r>
    </w:p>
    <w:p>
      <w:pPr>
        <w:widowControl/>
        <w:spacing w:after="120" w:line="264" w:lineRule="auto"/>
      </w:pPr>
      <w:r>
        <w:rPr>
          <w:rFonts w:ascii="Aptos" w:hAnsi="Aptos"/>
          <w:b/>
          <w:i w:val="0"/>
          <w:color w:val="25313B"/>
          <w:sz w:val="21"/>
        </w:rPr>
        <w:t>The financial record is now substantial but not yet fully comparable.</w:t>
      </w:r>
      <w:r>
        <w:rPr>
          <w:rFonts w:ascii="Aptos" w:hAnsi="Aptos"/>
          <w:b w:val="0"/>
          <w:i w:val="0"/>
          <w:color w:val="25313B"/>
          <w:sz w:val="21"/>
        </w:rPr>
        <w:t xml:space="preserve"> Audits, Form 990 filings, and government budgets establish that major Colorado systems control significant public and private resources. They do not, by themselves, show that a particular death was preventable or that money was misused. Program scope, fiscal periods, enforcement functions, clinics, capital costs, and internal transfers must be aligned before ranking organizations by spending or efficiency.</w:t>
      </w:r>
    </w:p>
    <w:p>
      <w:pPr>
        <w:widowControl/>
        <w:spacing w:after="120" w:line="264" w:lineRule="auto"/>
      </w:pPr>
      <w:r>
        <w:rPr>
          <w:rFonts w:ascii="Aptos" w:hAnsi="Aptos"/>
          <w:b/>
          <w:i w:val="0"/>
          <w:color w:val="25313B"/>
          <w:sz w:val="21"/>
        </w:rPr>
        <w:t>The most important missing evidence is animal-level outcome classification.</w:t>
      </w:r>
      <w:r>
        <w:rPr>
          <w:rFonts w:ascii="Aptos" w:hAnsi="Aptos"/>
          <w:b w:val="0"/>
          <w:i w:val="0"/>
          <w:color w:val="25313B"/>
          <w:sz w:val="21"/>
        </w:rPr>
        <w:t xml:space="preserve"> PACFA aggregates do not report medical prognosis, individualized behavior and safety findings, owner-request status, custody status, alternatives attempted, or a case-specific reason for each non-live outcome. Until those fields exist, the report can identify the scale and location of the problem—but it cannot honestly calculate the number of healthy and treatable animals lost.</w:t>
      </w:r>
    </w:p>
    <w:p>
      <w:pPr>
        <w:widowControl/>
        <w:spacing w:before="40" w:after="160"/>
      </w:pPr>
      <w:r>
        <w:rPr>
          <w:rFonts w:ascii="Aptos" w:hAnsi="Aptos"/>
          <w:b/>
          <w:i w:val="0"/>
          <w:color w:val="5E6B75"/>
          <w:sz w:val="17"/>
        </w:rPr>
        <w:t xml:space="preserve">Evidence note: </w:t>
      </w:r>
      <w:r>
        <w:rPr>
          <w:rFonts w:ascii="Aptos" w:hAnsi="Aptos"/>
          <w:b w:val="0"/>
          <w:i w:val="0"/>
          <w:color w:val="5E6B75"/>
          <w:sz w:val="17"/>
        </w:rPr>
        <w:t>PACFA-2024-IND; PACFA-2025-IND; verified baseline workbook v3.</w:t>
      </w:r>
    </w:p>
    <w:p>
      <w:pPr>
        <w:pStyle w:val="Heading1"/>
        <w:keepNext/>
        <w:widowControl/>
      </w:pPr>
      <w:r>
        <w:t>What This Report Measures</w:t>
      </w:r>
    </w:p>
    <w:p>
      <w:pPr>
        <w:widowControl/>
        <w:spacing w:after="120" w:line="264" w:lineRule="auto"/>
      </w:pPr>
      <w:r>
        <w:rPr>
          <w:rFonts w:ascii="Aptos" w:hAnsi="Aptos"/>
          <w:b w:val="0"/>
          <w:i w:val="0"/>
          <w:color w:val="25313B"/>
          <w:sz w:val="21"/>
        </w:rPr>
        <w:t>For this research, Colorado’s shelter system means all shelters and rescues licensed by PACFA. Facility reporting rows are consolidated into economic parents where a single nonprofit or government entity operates multiple campuses. The primary objective is not a percentage. It is to protect every healthy and treatable homeless pet entering the system, while reserving euthanasia for otherwise unrelievable suffering and treating grave public-safety decisions as a separate, individualized category.</w:t>
      </w:r>
    </w:p>
    <w:tbl>
      <w:tblPr>
        <w:tblW w:type="dxa" w:w="9360"/>
        <w:jc w:val="center"/>
        <w:tblLayout w:type="fixed"/>
        <w:tblLook w:firstColumn="1" w:firstRow="1" w:lastColumn="0" w:lastRow="0" w:noHBand="0" w:noVBand="1" w:val="04A0"/>
        <w:tblBorders>
          <w:top w:val="single" w:sz="2" w:color="FFF4D6"/>
          <w:left w:val="single" w:sz="2" w:color="FFF4D6"/>
          <w:bottom w:val="single" w:sz="2" w:color="FFF4D6"/>
          <w:right w:val="single" w:sz="2" w:color="FFF4D6"/>
          <w:insideH w:val="single" w:sz="2" w:color="FFF4D6"/>
          <w:insideV w:val="single" w:sz="2" w:color="FFF4D6"/>
        </w:tblBorders>
      </w:tblPr>
      <w:tblGrid>
        <w:gridCol w:w="9360"/>
      </w:tblGrid>
      <w:tr>
        <w:trPr>
          <w:tblHeader w:val="true"/>
        </w:trPr>
        <w:tc>
          <w:tcPr>
            <w:tcW w:type="dxa" w:w="9360"/>
            <w:tcMar>
              <w:top w:w="90" w:type="dxa"/>
              <w:start w:w="110" w:type="dxa"/>
              <w:bottom w:w="90" w:type="dxa"/>
              <w:end w:w="110" w:type="dxa"/>
            </w:tcMar>
            <w:vAlign w:val="center"/>
            <w:shd w:fill="FFF4D6"/>
          </w:tcPr>
          <w:p>
            <w:pPr>
              <w:widowControl/>
              <w:spacing w:after="0" w:line="259" w:lineRule="auto"/>
            </w:pPr>
            <w:r>
              <w:rPr>
                <w:rFonts w:ascii="Aptos" w:hAnsi="Aptos"/>
                <w:b/>
                <w:i w:val="0"/>
                <w:color w:val="18324A"/>
                <w:sz w:val="21"/>
              </w:rPr>
              <w:t xml:space="preserve">Important denominator: </w:t>
            </w:r>
            <w:r>
              <w:rPr>
                <w:rFonts w:ascii="Aptos" w:hAnsi="Aptos"/>
                <w:b w:val="0"/>
                <w:i w:val="0"/>
                <w:color w:val="25313B"/>
                <w:sz w:val="21"/>
              </w:rPr>
              <w:t>Live-release rate equals live outcomes divided by final outcomes. It is not live outcomes divided by intake. Statewide totals are organizational transactions, not necessarily unique animals, because transfers within Colorado may cause the same animal to be counted more than once.</w:t>
            </w:r>
          </w:p>
        </w:tc>
      </w:tr>
    </w:tbl>
    <w:p>
      <w:pPr>
        <w:widowControl/>
        <w:spacing w:after="20"/>
      </w:pPr>
    </w:p>
    <w:p>
      <w:pPr>
        <w:pStyle w:val="Heading1"/>
        <w:keepNext/>
        <w:widowControl/>
      </w:pPr>
      <w:r>
        <w:t>Colorado’s Statewide Baseline Is Strong—but Not Complete</w:t>
      </w:r>
    </w:p>
    <w:p>
      <w:pPr>
        <w:widowControl/>
        <w:spacing w:after="120" w:line="264" w:lineRule="auto"/>
      </w:pPr>
      <w:r>
        <w:rPr>
          <w:rFonts w:ascii="Aptos" w:hAnsi="Aptos"/>
          <w:b/>
          <w:i w:val="0"/>
          <w:color w:val="25313B"/>
          <w:sz w:val="21"/>
        </w:rPr>
        <w:t>The statewide dog/cat live-release rate was 92.75% in 2024 and 92.37% in 2025, a decline of about 0.39 percentage points.</w:t>
      </w:r>
      <w:r>
        <w:rPr>
          <w:rFonts w:ascii="Aptos" w:hAnsi="Aptos"/>
          <w:b w:val="0"/>
          <w:i w:val="0"/>
          <w:color w:val="25313B"/>
          <w:sz w:val="21"/>
        </w:rPr>
        <w:t xml:space="preserve"> The all-species rate moved from 92.63% to 92.31%. These rates describe reported outcomes; they do not determine whether the non-live cases involved irremediable suffering, grave safety risk, treatable conditions, or healthy animals.</w:t>
      </w:r>
    </w:p>
    <w:p>
      <w:pPr>
        <w:keepNext/>
        <w:widowControl/>
        <w:jc w:val="center"/>
      </w:pPr>
      <w:r>
        <w:drawing>
          <wp:inline xmlns:a="http://schemas.openxmlformats.org/drawingml/2006/main" xmlns:pic="http://schemas.openxmlformats.org/drawingml/2006/picture">
            <wp:extent cx="5897880" cy="2937629"/>
            <wp:docPr id="1" name="Picture 1" descr="Grouped bar chart comparing Colorado dog and cat intake, live outcomes, non-live outcomes, and out-of-state transfers in for 2024 and 2025." title="Colorado dog/cat shelter transactions, 2024–2025"/>
            <wp:cNvGraphicFramePr>
              <a:graphicFrameLocks noChangeAspect="1"/>
            </wp:cNvGraphicFramePr>
            <a:graphic>
              <a:graphicData uri="http://schemas.openxmlformats.org/drawingml/2006/picture">
                <pic:pic>
                  <pic:nvPicPr>
                    <pic:cNvPr id="0" name="statewide_baseline.png"/>
                    <pic:cNvPicPr/>
                  </pic:nvPicPr>
                  <pic:blipFill>
                    <a:blip r:embed="rId11"/>
                    <a:stretch>
                      <a:fillRect/>
                    </a:stretch>
                  </pic:blipFill>
                  <pic:spPr>
                    <a:xfrm>
                      <a:off x="0" y="0"/>
                      <a:ext cx="5897880" cy="2937629"/>
                    </a:xfrm>
                    <a:prstGeom prst="rect"/>
                  </pic:spPr>
                </pic:pic>
              </a:graphicData>
            </a:graphic>
          </wp:inline>
        </w:drawing>
      </w:r>
    </w:p>
    <w:p>
      <w:pPr>
        <w:widowControl/>
        <w:spacing w:after="160"/>
        <w:jc w:val="center"/>
      </w:pPr>
      <w:r>
        <w:rPr>
          <w:rFonts w:ascii="Aptos" w:hAnsi="Aptos"/>
          <w:b w:val="0"/>
          <w:i/>
          <w:color w:val="5E6B75"/>
          <w:sz w:val="17"/>
        </w:rPr>
        <w:t>Figure 1. Reported dog/cat transactions. Intake and outcomes are not a unique-animal census.</w:t>
      </w:r>
    </w:p>
    <w:tbl>
      <w:tblPr>
        <w:tblW w:type="dxa" w:w="8500"/>
        <w:jc w:val="center"/>
        <w:tblLayout w:type="fixed"/>
        <w:tblLook w:firstColumn="1" w:firstRow="1" w:lastColumn="0" w:lastRow="0" w:noHBand="0" w:noVBand="1" w:val="04A0"/>
        <w:tblBorders>
          <w:top w:val="single" w:sz="4" w:color="CDD5DA"/>
          <w:left w:val="single" w:sz="4" w:color="CDD5DA"/>
          <w:bottom w:val="single" w:sz="4" w:color="CDD5DA"/>
          <w:right w:val="single" w:sz="4" w:color="CDD5DA"/>
          <w:insideH w:val="single" w:sz="4" w:color="CDD5DA"/>
          <w:insideV w:val="single" w:sz="4" w:color="CDD5DA"/>
        </w:tblBorders>
      </w:tblPr>
      <w:tblGrid>
        <w:gridCol w:w="900"/>
        <w:gridCol w:w="1500"/>
        <w:gridCol w:w="1500"/>
        <w:gridCol w:w="1500"/>
        <w:gridCol w:w="1900"/>
        <w:gridCol w:w="1200"/>
      </w:tblGrid>
      <w:tr>
        <w:trPr>
          <w:tblHeader w:val="true"/>
        </w:trPr>
        <w:tc>
          <w:tcPr>
            <w:tcW w:type="dxa" w:w="900"/>
            <w:tcMar>
              <w:top w:w="90" w:type="dxa"/>
              <w:start w:w="110" w:type="dxa"/>
              <w:bottom w:w="90" w:type="dxa"/>
              <w:end w:w="110" w:type="dxa"/>
            </w:tcMar>
            <w:vAlign w:val="center"/>
            <w:shd w:fill="1F6F78"/>
          </w:tcPr>
          <w:p>
            <w:pPr>
              <w:widowControl/>
              <w:spacing w:after="0"/>
              <w:jc w:val="left"/>
            </w:pPr>
            <w:r>
              <w:rPr>
                <w:rFonts w:ascii="Aptos" w:hAnsi="Aptos"/>
                <w:b/>
                <w:i w:val="0"/>
                <w:color w:val="FFFFFF"/>
                <w:sz w:val="18"/>
              </w:rPr>
              <w:t>Year</w:t>
            </w:r>
          </w:p>
        </w:tc>
        <w:tc>
          <w:tcPr>
            <w:tcW w:type="dxa" w:w="1500"/>
            <w:tcMar>
              <w:top w:w="90" w:type="dxa"/>
              <w:start w:w="110" w:type="dxa"/>
              <w:bottom w:w="90" w:type="dxa"/>
              <w:end w:w="110" w:type="dxa"/>
            </w:tcMar>
            <w:vAlign w:val="center"/>
            <w:shd w:fill="1F6F78"/>
          </w:tcPr>
          <w:p>
            <w:pPr>
              <w:widowControl/>
              <w:spacing w:after="0"/>
              <w:jc w:val="center"/>
            </w:pPr>
            <w:r>
              <w:rPr>
                <w:rFonts w:ascii="Aptos" w:hAnsi="Aptos"/>
                <w:b/>
                <w:i w:val="0"/>
                <w:color w:val="FFFFFF"/>
                <w:sz w:val="18"/>
              </w:rPr>
              <w:t>Intake</w:t>
            </w:r>
          </w:p>
        </w:tc>
        <w:tc>
          <w:tcPr>
            <w:tcW w:type="dxa" w:w="1500"/>
            <w:tcMar>
              <w:top w:w="90" w:type="dxa"/>
              <w:start w:w="110" w:type="dxa"/>
              <w:bottom w:w="90" w:type="dxa"/>
              <w:end w:w="110" w:type="dxa"/>
            </w:tcMar>
            <w:vAlign w:val="center"/>
            <w:shd w:fill="1F6F78"/>
          </w:tcPr>
          <w:p>
            <w:pPr>
              <w:widowControl/>
              <w:spacing w:after="0"/>
              <w:jc w:val="center"/>
            </w:pPr>
            <w:r>
              <w:rPr>
                <w:rFonts w:ascii="Aptos" w:hAnsi="Aptos"/>
                <w:b/>
                <w:i w:val="0"/>
                <w:color w:val="FFFFFF"/>
                <w:sz w:val="18"/>
              </w:rPr>
              <w:t>Live</w:t>
            </w:r>
          </w:p>
        </w:tc>
        <w:tc>
          <w:tcPr>
            <w:tcW w:type="dxa" w:w="1500"/>
            <w:tcMar>
              <w:top w:w="90" w:type="dxa"/>
              <w:start w:w="110" w:type="dxa"/>
              <w:bottom w:w="90" w:type="dxa"/>
              <w:end w:w="110" w:type="dxa"/>
            </w:tcMar>
            <w:vAlign w:val="center"/>
            <w:shd w:fill="1F6F78"/>
          </w:tcPr>
          <w:p>
            <w:pPr>
              <w:widowControl/>
              <w:spacing w:after="0"/>
              <w:jc w:val="center"/>
            </w:pPr>
            <w:r>
              <w:rPr>
                <w:rFonts w:ascii="Aptos" w:hAnsi="Aptos"/>
                <w:b/>
                <w:i w:val="0"/>
                <w:color w:val="FFFFFF"/>
                <w:sz w:val="18"/>
              </w:rPr>
              <w:t>Non-live</w:t>
            </w:r>
          </w:p>
        </w:tc>
        <w:tc>
          <w:tcPr>
            <w:tcW w:type="dxa" w:w="1900"/>
            <w:tcMar>
              <w:top w:w="90" w:type="dxa"/>
              <w:start w:w="110" w:type="dxa"/>
              <w:bottom w:w="90" w:type="dxa"/>
              <w:end w:w="110" w:type="dxa"/>
            </w:tcMar>
            <w:vAlign w:val="center"/>
            <w:shd w:fill="1F6F78"/>
          </w:tcPr>
          <w:p>
            <w:pPr>
              <w:widowControl/>
              <w:spacing w:after="0"/>
              <w:jc w:val="center"/>
            </w:pPr>
            <w:r>
              <w:rPr>
                <w:rFonts w:ascii="Aptos" w:hAnsi="Aptos"/>
                <w:b/>
                <w:i w:val="0"/>
                <w:color w:val="FFFFFF"/>
                <w:sz w:val="18"/>
              </w:rPr>
              <w:t>OOS transfers in</w:t>
            </w:r>
          </w:p>
        </w:tc>
        <w:tc>
          <w:tcPr>
            <w:tcW w:type="dxa" w:w="1200"/>
            <w:tcMar>
              <w:top w:w="90" w:type="dxa"/>
              <w:start w:w="110" w:type="dxa"/>
              <w:bottom w:w="90" w:type="dxa"/>
              <w:end w:w="110" w:type="dxa"/>
            </w:tcMar>
            <w:vAlign w:val="center"/>
            <w:shd w:fill="1F6F78"/>
          </w:tcPr>
          <w:p>
            <w:pPr>
              <w:widowControl/>
              <w:spacing w:after="0"/>
              <w:jc w:val="center"/>
            </w:pPr>
            <w:r>
              <w:rPr>
                <w:rFonts w:ascii="Aptos" w:hAnsi="Aptos"/>
                <w:b/>
                <w:i w:val="0"/>
                <w:color w:val="FFFFFF"/>
                <w:sz w:val="18"/>
              </w:rPr>
              <w:t>LRR</w:t>
            </w:r>
          </w:p>
        </w:tc>
      </w:tr>
      <w:tr>
        <w:tc>
          <w:tcPr>
            <w:tcW w:type="dxa" w:w="900"/>
          </w:tcPr>
          <w:p>
            <w:pPr>
              <w:widowControl/>
              <w:spacing w:after="0"/>
              <w:jc w:val="left"/>
            </w:pPr>
            <w:r>
              <w:rPr>
                <w:rFonts w:ascii="Aptos" w:hAnsi="Aptos"/>
                <w:b w:val="0"/>
                <w:i w:val="0"/>
                <w:color w:val="25313B"/>
                <w:sz w:val="18"/>
              </w:rPr>
              <w:t>2024</w:t>
            </w:r>
          </w:p>
        </w:tc>
        <w:tc>
          <w:tcPr>
            <w:tcW w:type="dxa" w:w="1500"/>
          </w:tcPr>
          <w:p>
            <w:pPr>
              <w:widowControl/>
              <w:spacing w:after="0"/>
              <w:jc w:val="right"/>
            </w:pPr>
            <w:r>
              <w:rPr>
                <w:rFonts w:ascii="Aptos" w:hAnsi="Aptos"/>
                <w:b w:val="0"/>
                <w:i w:val="0"/>
                <w:color w:val="25313B"/>
                <w:sz w:val="18"/>
              </w:rPr>
              <w:t>164,239</w:t>
            </w:r>
          </w:p>
        </w:tc>
        <w:tc>
          <w:tcPr>
            <w:tcW w:type="dxa" w:w="1500"/>
          </w:tcPr>
          <w:p>
            <w:pPr>
              <w:widowControl/>
              <w:spacing w:after="0"/>
              <w:jc w:val="right"/>
            </w:pPr>
            <w:r>
              <w:rPr>
                <w:rFonts w:ascii="Aptos" w:hAnsi="Aptos"/>
                <w:b w:val="0"/>
                <w:i w:val="0"/>
                <w:color w:val="25313B"/>
                <w:sz w:val="18"/>
              </w:rPr>
              <w:t>153,521</w:t>
            </w:r>
          </w:p>
        </w:tc>
        <w:tc>
          <w:tcPr>
            <w:tcW w:type="dxa" w:w="1500"/>
          </w:tcPr>
          <w:p>
            <w:pPr>
              <w:widowControl/>
              <w:spacing w:after="0"/>
              <w:jc w:val="right"/>
            </w:pPr>
            <w:r>
              <w:rPr>
                <w:rFonts w:ascii="Aptos" w:hAnsi="Aptos"/>
                <w:b w:val="0"/>
                <w:i w:val="0"/>
                <w:color w:val="25313B"/>
                <w:sz w:val="18"/>
              </w:rPr>
              <w:t>11,998</w:t>
            </w:r>
          </w:p>
        </w:tc>
        <w:tc>
          <w:tcPr>
            <w:tcW w:type="dxa" w:w="1900"/>
          </w:tcPr>
          <w:p>
            <w:pPr>
              <w:widowControl/>
              <w:spacing w:after="0"/>
              <w:jc w:val="right"/>
            </w:pPr>
            <w:r>
              <w:rPr>
                <w:rFonts w:ascii="Aptos" w:hAnsi="Aptos"/>
                <w:b w:val="0"/>
                <w:i w:val="0"/>
                <w:color w:val="25313B"/>
                <w:sz w:val="18"/>
              </w:rPr>
              <w:t>27,144</w:t>
            </w:r>
          </w:p>
        </w:tc>
        <w:tc>
          <w:tcPr>
            <w:tcW w:type="dxa" w:w="1200"/>
          </w:tcPr>
          <w:p>
            <w:pPr>
              <w:widowControl/>
              <w:spacing w:after="0"/>
              <w:jc w:val="right"/>
            </w:pPr>
            <w:r>
              <w:rPr>
                <w:rFonts w:ascii="Aptos" w:hAnsi="Aptos"/>
                <w:b w:val="0"/>
                <w:i w:val="0"/>
                <w:color w:val="25313B"/>
                <w:sz w:val="18"/>
              </w:rPr>
              <w:t>92.75%</w:t>
            </w:r>
          </w:p>
        </w:tc>
      </w:tr>
      <w:tr>
        <w:tc>
          <w:tcPr>
            <w:tcW w:type="dxa" w:w="900"/>
            <w:shd w:fill="F5F8F9"/>
          </w:tcPr>
          <w:p>
            <w:pPr>
              <w:widowControl/>
              <w:spacing w:after="0"/>
              <w:jc w:val="left"/>
            </w:pPr>
            <w:r>
              <w:rPr>
                <w:rFonts w:ascii="Aptos" w:hAnsi="Aptos"/>
                <w:b w:val="0"/>
                <w:i w:val="0"/>
                <w:color w:val="25313B"/>
                <w:sz w:val="18"/>
              </w:rPr>
              <w:t>2025</w:t>
            </w:r>
          </w:p>
        </w:tc>
        <w:tc>
          <w:tcPr>
            <w:tcW w:type="dxa" w:w="1500"/>
            <w:shd w:fill="F5F8F9"/>
          </w:tcPr>
          <w:p>
            <w:pPr>
              <w:widowControl/>
              <w:spacing w:after="0"/>
              <w:jc w:val="right"/>
            </w:pPr>
            <w:r>
              <w:rPr>
                <w:rFonts w:ascii="Aptos" w:hAnsi="Aptos"/>
                <w:b w:val="0"/>
                <w:i w:val="0"/>
                <w:color w:val="25313B"/>
                <w:sz w:val="18"/>
              </w:rPr>
              <w:t>162,496</w:t>
            </w:r>
          </w:p>
        </w:tc>
        <w:tc>
          <w:tcPr>
            <w:tcW w:type="dxa" w:w="1500"/>
            <w:shd w:fill="F5F8F9"/>
          </w:tcPr>
          <w:p>
            <w:pPr>
              <w:widowControl/>
              <w:spacing w:after="0"/>
              <w:jc w:val="right"/>
            </w:pPr>
            <w:r>
              <w:rPr>
                <w:rFonts w:ascii="Aptos" w:hAnsi="Aptos"/>
                <w:b w:val="0"/>
                <w:i w:val="0"/>
                <w:color w:val="25313B"/>
                <w:sz w:val="18"/>
              </w:rPr>
              <w:t>149,944</w:t>
            </w:r>
          </w:p>
        </w:tc>
        <w:tc>
          <w:tcPr>
            <w:tcW w:type="dxa" w:w="1500"/>
            <w:shd w:fill="F5F8F9"/>
          </w:tcPr>
          <w:p>
            <w:pPr>
              <w:widowControl/>
              <w:spacing w:after="0"/>
              <w:jc w:val="right"/>
            </w:pPr>
            <w:r>
              <w:rPr>
                <w:rFonts w:ascii="Aptos" w:hAnsi="Aptos"/>
                <w:b w:val="0"/>
                <w:i w:val="0"/>
                <w:color w:val="25313B"/>
                <w:sz w:val="18"/>
              </w:rPr>
              <w:t>12,393</w:t>
            </w:r>
          </w:p>
        </w:tc>
        <w:tc>
          <w:tcPr>
            <w:tcW w:type="dxa" w:w="1900"/>
            <w:shd w:fill="F5F8F9"/>
          </w:tcPr>
          <w:p>
            <w:pPr>
              <w:widowControl/>
              <w:spacing w:after="0"/>
              <w:jc w:val="right"/>
            </w:pPr>
            <w:r>
              <w:rPr>
                <w:rFonts w:ascii="Aptos" w:hAnsi="Aptos"/>
                <w:b w:val="0"/>
                <w:i w:val="0"/>
                <w:color w:val="25313B"/>
                <w:sz w:val="18"/>
              </w:rPr>
              <w:t>25,103</w:t>
            </w:r>
          </w:p>
        </w:tc>
        <w:tc>
          <w:tcPr>
            <w:tcW w:type="dxa" w:w="1200"/>
            <w:shd w:fill="F5F8F9"/>
          </w:tcPr>
          <w:p>
            <w:pPr>
              <w:widowControl/>
              <w:spacing w:after="0"/>
              <w:jc w:val="right"/>
            </w:pPr>
            <w:r>
              <w:rPr>
                <w:rFonts w:ascii="Aptos" w:hAnsi="Aptos"/>
                <w:b w:val="0"/>
                <w:i w:val="0"/>
                <w:color w:val="25313B"/>
                <w:sz w:val="18"/>
              </w:rPr>
              <w:t>92.37%</w:t>
            </w:r>
          </w:p>
        </w:tc>
      </w:tr>
    </w:tbl>
    <w:p>
      <w:pPr>
        <w:widowControl/>
        <w:spacing w:before="40" w:after="160"/>
      </w:pPr>
      <w:r>
        <w:rPr>
          <w:rFonts w:ascii="Aptos" w:hAnsi="Aptos"/>
          <w:b/>
          <w:i w:val="0"/>
          <w:color w:val="5E6B75"/>
          <w:sz w:val="17"/>
        </w:rPr>
        <w:t xml:space="preserve">Evidence note: </w:t>
      </w:r>
      <w:r>
        <w:rPr>
          <w:rFonts w:ascii="Aptos" w:hAnsi="Aptos"/>
          <w:b w:val="0"/>
          <w:i w:val="0"/>
          <w:color w:val="5E6B75"/>
          <w:sz w:val="17"/>
        </w:rPr>
        <w:t>PACFA-2024-IND and PACFA-2025-IND; direct facility-file parse using identical dog/cat formulas.</w:t>
      </w:r>
    </w:p>
    <w:p>
      <w:pPr>
        <w:pStyle w:val="Heading1"/>
        <w:keepNext/>
        <w:widowControl/>
      </w:pPr>
      <w:r>
        <w:t>The Remaining Non-Live Outcomes Are Concentrated</w:t>
      </w:r>
    </w:p>
    <w:p>
      <w:pPr>
        <w:widowControl/>
        <w:spacing w:after="120" w:line="264" w:lineRule="auto"/>
      </w:pPr>
      <w:r>
        <w:rPr>
          <w:rFonts w:ascii="Aptos" w:hAnsi="Aptos"/>
          <w:b/>
          <w:i w:val="0"/>
          <w:color w:val="25313B"/>
          <w:sz w:val="21"/>
        </w:rPr>
        <w:t>The strongest actionable finding is concentration.</w:t>
      </w:r>
      <w:r>
        <w:rPr>
          <w:rFonts w:ascii="Aptos" w:hAnsi="Aptos"/>
          <w:b w:val="0"/>
          <w:i w:val="0"/>
          <w:color w:val="25313B"/>
          <w:sz w:val="21"/>
        </w:rPr>
        <w:t xml:space="preserve"> HSPPR, Humane Colorado, and Denver Animal Protection reported 6,736 dog/cat non-live outcomes—54.4% of the statewide total. Adding NOCO Humane and Riverdale raises the concentration to 67.2%; adding Foothills and Aurora raises it to 74.3%. Large scale is not itself a failure, but underperformance at scale multiplies the consequences of every program gap.</w:t>
      </w:r>
    </w:p>
    <w:p>
      <w:pPr>
        <w:keepNext/>
        <w:widowControl/>
        <w:jc w:val="center"/>
      </w:pPr>
      <w:r>
        <w:drawing>
          <wp:inline xmlns:a="http://schemas.openxmlformats.org/drawingml/2006/main" xmlns:pic="http://schemas.openxmlformats.org/drawingml/2006/picture">
            <wp:extent cx="5897880" cy="3470862"/>
            <wp:docPr id="2" name="Picture 2" descr="Horizontal bar chart of 2025 dog and cat non-live outcomes for the ten economic parents with the highest reported counts." title="2025 dog/cat non-live outcomes by economic parent"/>
            <wp:cNvGraphicFramePr>
              <a:graphicFrameLocks noChangeAspect="1"/>
            </wp:cNvGraphicFramePr>
            <a:graphic>
              <a:graphicData uri="http://schemas.openxmlformats.org/drawingml/2006/picture">
                <pic:pic>
                  <pic:nvPicPr>
                    <pic:cNvPr id="0" name="nonlive_concentration.png"/>
                    <pic:cNvPicPr/>
                  </pic:nvPicPr>
                  <pic:blipFill>
                    <a:blip r:embed="rId12"/>
                    <a:stretch>
                      <a:fillRect/>
                    </a:stretch>
                  </pic:blipFill>
                  <pic:spPr>
                    <a:xfrm>
                      <a:off x="0" y="0"/>
                      <a:ext cx="5897880" cy="3470862"/>
                    </a:xfrm>
                    <a:prstGeom prst="rect"/>
                  </pic:spPr>
                </pic:pic>
              </a:graphicData>
            </a:graphic>
          </wp:inline>
        </w:drawing>
      </w:r>
    </w:p>
    <w:p>
      <w:pPr>
        <w:widowControl/>
        <w:spacing w:after="160"/>
        <w:jc w:val="center"/>
      </w:pPr>
      <w:r>
        <w:rPr>
          <w:rFonts w:ascii="Aptos" w:hAnsi="Aptos"/>
          <w:b w:val="0"/>
          <w:i/>
          <w:color w:val="5E6B75"/>
          <w:sz w:val="17"/>
        </w:rPr>
        <w:t>Figure 2. The ten economic parents with the most reported 2025 dog/cat non-live outcomes. *Finney County remains under license-boundary review.</w:t>
      </w:r>
    </w:p>
    <w:tbl>
      <w:tblPr>
        <w:tblW w:type="dxa" w:w="8600"/>
        <w:jc w:val="center"/>
        <w:tblLayout w:type="fixed"/>
        <w:tblLook w:firstColumn="1" w:firstRow="1" w:lastColumn="0" w:lastRow="0" w:noHBand="0" w:noVBand="1" w:val="04A0"/>
        <w:tblBorders>
          <w:top w:val="single" w:sz="4" w:color="CDD5DA"/>
          <w:left w:val="single" w:sz="4" w:color="CDD5DA"/>
          <w:bottom w:val="single" w:sz="4" w:color="CDD5DA"/>
          <w:right w:val="single" w:sz="4" w:color="CDD5DA"/>
          <w:insideH w:val="single" w:sz="4" w:color="CDD5DA"/>
          <w:insideV w:val="single" w:sz="4" w:color="CDD5DA"/>
        </w:tblBorders>
      </w:tblPr>
      <w:tblGrid>
        <w:gridCol w:w="3000"/>
        <w:gridCol w:w="1300"/>
        <w:gridCol w:w="1500"/>
        <w:gridCol w:w="1300"/>
        <w:gridCol w:w="1500"/>
      </w:tblGrid>
      <w:tr>
        <w:trPr>
          <w:tblHeader w:val="true"/>
        </w:trPr>
        <w:tc>
          <w:tcPr>
            <w:tcW w:type="dxa" w:w="3000"/>
            <w:tcMar>
              <w:top w:w="90" w:type="dxa"/>
              <w:start w:w="110" w:type="dxa"/>
              <w:bottom w:w="90" w:type="dxa"/>
              <w:end w:w="110" w:type="dxa"/>
            </w:tcMar>
            <w:vAlign w:val="center"/>
            <w:shd w:fill="1F6F78"/>
          </w:tcPr>
          <w:p>
            <w:pPr>
              <w:widowControl/>
              <w:spacing w:after="0"/>
              <w:jc w:val="left"/>
            </w:pPr>
            <w:r>
              <w:rPr>
                <w:rFonts w:ascii="Aptos" w:hAnsi="Aptos"/>
                <w:b/>
                <w:i w:val="0"/>
                <w:color w:val="FFFFFF"/>
                <w:sz w:val="17"/>
              </w:rPr>
              <w:t>Economic parent</w:t>
            </w:r>
          </w:p>
        </w:tc>
        <w:tc>
          <w:tcPr>
            <w:tcW w:type="dxa" w:w="1300"/>
            <w:tcMar>
              <w:top w:w="90" w:type="dxa"/>
              <w:start w:w="110" w:type="dxa"/>
              <w:bottom w:w="90" w:type="dxa"/>
              <w:end w:w="110" w:type="dxa"/>
            </w:tcMar>
            <w:vAlign w:val="center"/>
            <w:shd w:fill="1F6F78"/>
          </w:tcPr>
          <w:p>
            <w:pPr>
              <w:widowControl/>
              <w:spacing w:after="0"/>
              <w:jc w:val="center"/>
            </w:pPr>
            <w:r>
              <w:rPr>
                <w:rFonts w:ascii="Aptos" w:hAnsi="Aptos"/>
                <w:b/>
                <w:i w:val="0"/>
                <w:color w:val="FFFFFF"/>
                <w:sz w:val="17"/>
              </w:rPr>
              <w:t>Intake</w:t>
            </w:r>
          </w:p>
        </w:tc>
        <w:tc>
          <w:tcPr>
            <w:tcW w:type="dxa" w:w="1500"/>
            <w:tcMar>
              <w:top w:w="90" w:type="dxa"/>
              <w:start w:w="110" w:type="dxa"/>
              <w:bottom w:w="90" w:type="dxa"/>
              <w:end w:w="110" w:type="dxa"/>
            </w:tcMar>
            <w:vAlign w:val="center"/>
            <w:shd w:fill="1F6F78"/>
          </w:tcPr>
          <w:p>
            <w:pPr>
              <w:widowControl/>
              <w:spacing w:after="0"/>
              <w:jc w:val="center"/>
            </w:pPr>
            <w:r>
              <w:rPr>
                <w:rFonts w:ascii="Aptos" w:hAnsi="Aptos"/>
                <w:b/>
                <w:i w:val="0"/>
                <w:color w:val="FFFFFF"/>
                <w:sz w:val="17"/>
              </w:rPr>
              <w:t>Non-live</w:t>
            </w:r>
          </w:p>
        </w:tc>
        <w:tc>
          <w:tcPr>
            <w:tcW w:type="dxa" w:w="1300"/>
            <w:tcMar>
              <w:top w:w="90" w:type="dxa"/>
              <w:start w:w="110" w:type="dxa"/>
              <w:bottom w:w="90" w:type="dxa"/>
              <w:end w:w="110" w:type="dxa"/>
            </w:tcMar>
            <w:vAlign w:val="center"/>
            <w:shd w:fill="1F6F78"/>
          </w:tcPr>
          <w:p>
            <w:pPr>
              <w:widowControl/>
              <w:spacing w:after="0"/>
              <w:jc w:val="center"/>
            </w:pPr>
            <w:r>
              <w:rPr>
                <w:rFonts w:ascii="Aptos" w:hAnsi="Aptos"/>
                <w:b/>
                <w:i w:val="0"/>
                <w:color w:val="FFFFFF"/>
                <w:sz w:val="17"/>
              </w:rPr>
              <w:t>LRR</w:t>
            </w:r>
          </w:p>
        </w:tc>
        <w:tc>
          <w:tcPr>
            <w:tcW w:type="dxa" w:w="1500"/>
            <w:tcMar>
              <w:top w:w="90" w:type="dxa"/>
              <w:start w:w="110" w:type="dxa"/>
              <w:bottom w:w="90" w:type="dxa"/>
              <w:end w:w="110" w:type="dxa"/>
            </w:tcMar>
            <w:vAlign w:val="center"/>
            <w:shd w:fill="1F6F78"/>
          </w:tcPr>
          <w:p>
            <w:pPr>
              <w:widowControl/>
              <w:spacing w:after="0"/>
              <w:jc w:val="center"/>
            </w:pPr>
            <w:r>
              <w:rPr>
                <w:rFonts w:ascii="Aptos" w:hAnsi="Aptos"/>
                <w:b/>
                <w:i w:val="0"/>
                <w:color w:val="FFFFFF"/>
                <w:sz w:val="17"/>
              </w:rPr>
              <w:t>State share</w:t>
            </w:r>
          </w:p>
        </w:tc>
      </w:tr>
      <w:tr>
        <w:tc>
          <w:tcPr>
            <w:tcW w:type="dxa" w:w="3000"/>
          </w:tcPr>
          <w:p>
            <w:pPr>
              <w:widowControl/>
              <w:spacing w:after="0"/>
              <w:jc w:val="left"/>
            </w:pPr>
            <w:r>
              <w:rPr>
                <w:rFonts w:ascii="Aptos" w:hAnsi="Aptos"/>
                <w:b w:val="0"/>
                <w:i w:val="0"/>
                <w:color w:val="25313B"/>
                <w:sz w:val="17"/>
              </w:rPr>
              <w:t>HSPPR</w:t>
            </w:r>
          </w:p>
        </w:tc>
        <w:tc>
          <w:tcPr>
            <w:tcW w:type="dxa" w:w="1300"/>
          </w:tcPr>
          <w:p>
            <w:pPr>
              <w:widowControl/>
              <w:spacing w:after="0"/>
              <w:jc w:val="right"/>
            </w:pPr>
            <w:r>
              <w:rPr>
                <w:rFonts w:ascii="Aptos" w:hAnsi="Aptos"/>
                <w:b w:val="0"/>
                <w:i w:val="0"/>
                <w:color w:val="25313B"/>
                <w:sz w:val="17"/>
              </w:rPr>
              <w:t>24,568</w:t>
            </w:r>
          </w:p>
        </w:tc>
        <w:tc>
          <w:tcPr>
            <w:tcW w:type="dxa" w:w="1500"/>
          </w:tcPr>
          <w:p>
            <w:pPr>
              <w:widowControl/>
              <w:spacing w:after="0"/>
              <w:jc w:val="right"/>
            </w:pPr>
            <w:r>
              <w:rPr>
                <w:rFonts w:ascii="Aptos" w:hAnsi="Aptos"/>
                <w:b w:val="0"/>
                <w:i w:val="0"/>
                <w:color w:val="25313B"/>
                <w:sz w:val="17"/>
              </w:rPr>
              <w:t>2,870</w:t>
            </w:r>
          </w:p>
        </w:tc>
        <w:tc>
          <w:tcPr>
            <w:tcW w:type="dxa" w:w="1300"/>
          </w:tcPr>
          <w:p>
            <w:pPr>
              <w:widowControl/>
              <w:spacing w:after="0"/>
              <w:jc w:val="right"/>
            </w:pPr>
            <w:r>
              <w:rPr>
                <w:rFonts w:ascii="Aptos" w:hAnsi="Aptos"/>
                <w:b w:val="0"/>
                <w:i w:val="0"/>
                <w:color w:val="25313B"/>
                <w:sz w:val="17"/>
              </w:rPr>
              <w:t>88.31%</w:t>
            </w:r>
          </w:p>
        </w:tc>
        <w:tc>
          <w:tcPr>
            <w:tcW w:type="dxa" w:w="1500"/>
          </w:tcPr>
          <w:p>
            <w:pPr>
              <w:widowControl/>
              <w:spacing w:after="0"/>
              <w:jc w:val="right"/>
            </w:pPr>
            <w:r>
              <w:rPr>
                <w:rFonts w:ascii="Aptos" w:hAnsi="Aptos"/>
                <w:b w:val="0"/>
                <w:i w:val="0"/>
                <w:color w:val="25313B"/>
                <w:sz w:val="17"/>
              </w:rPr>
              <w:t>23.2%</w:t>
            </w:r>
          </w:p>
        </w:tc>
      </w:tr>
      <w:tr>
        <w:tc>
          <w:tcPr>
            <w:tcW w:type="dxa" w:w="3000"/>
            <w:shd w:fill="F5F8F9"/>
          </w:tcPr>
          <w:p>
            <w:pPr>
              <w:widowControl/>
              <w:spacing w:after="0"/>
              <w:jc w:val="left"/>
            </w:pPr>
            <w:r>
              <w:rPr>
                <w:rFonts w:ascii="Aptos" w:hAnsi="Aptos"/>
                <w:b w:val="0"/>
                <w:i w:val="0"/>
                <w:color w:val="25313B"/>
                <w:sz w:val="17"/>
              </w:rPr>
              <w:t>Humane Colorado</w:t>
            </w:r>
          </w:p>
        </w:tc>
        <w:tc>
          <w:tcPr>
            <w:tcW w:type="dxa" w:w="1300"/>
            <w:shd w:fill="F5F8F9"/>
          </w:tcPr>
          <w:p>
            <w:pPr>
              <w:widowControl/>
              <w:spacing w:after="0"/>
              <w:jc w:val="right"/>
            </w:pPr>
            <w:r>
              <w:rPr>
                <w:rFonts w:ascii="Aptos" w:hAnsi="Aptos"/>
                <w:b w:val="0"/>
                <w:i w:val="0"/>
                <w:color w:val="25313B"/>
                <w:sz w:val="17"/>
              </w:rPr>
              <w:t>21,689</w:t>
            </w:r>
          </w:p>
        </w:tc>
        <w:tc>
          <w:tcPr>
            <w:tcW w:type="dxa" w:w="1500"/>
            <w:shd w:fill="F5F8F9"/>
          </w:tcPr>
          <w:p>
            <w:pPr>
              <w:widowControl/>
              <w:spacing w:after="0"/>
              <w:jc w:val="right"/>
            </w:pPr>
            <w:r>
              <w:rPr>
                <w:rFonts w:ascii="Aptos" w:hAnsi="Aptos"/>
                <w:b w:val="0"/>
                <w:i w:val="0"/>
                <w:color w:val="25313B"/>
                <w:sz w:val="17"/>
              </w:rPr>
              <w:t>2,592</w:t>
            </w:r>
          </w:p>
        </w:tc>
        <w:tc>
          <w:tcPr>
            <w:tcW w:type="dxa" w:w="1300"/>
            <w:shd w:fill="F5F8F9"/>
          </w:tcPr>
          <w:p>
            <w:pPr>
              <w:widowControl/>
              <w:spacing w:after="0"/>
              <w:jc w:val="right"/>
            </w:pPr>
            <w:r>
              <w:rPr>
                <w:rFonts w:ascii="Aptos" w:hAnsi="Aptos"/>
                <w:b w:val="0"/>
                <w:i w:val="0"/>
                <w:color w:val="25313B"/>
                <w:sz w:val="17"/>
              </w:rPr>
              <w:t>88.03%</w:t>
            </w:r>
          </w:p>
        </w:tc>
        <w:tc>
          <w:tcPr>
            <w:tcW w:type="dxa" w:w="1500"/>
            <w:shd w:fill="F5F8F9"/>
          </w:tcPr>
          <w:p>
            <w:pPr>
              <w:widowControl/>
              <w:spacing w:after="0"/>
              <w:jc w:val="right"/>
            </w:pPr>
            <w:r>
              <w:rPr>
                <w:rFonts w:ascii="Aptos" w:hAnsi="Aptos"/>
                <w:b w:val="0"/>
                <w:i w:val="0"/>
                <w:color w:val="25313B"/>
                <w:sz w:val="17"/>
              </w:rPr>
              <w:t>20.9%</w:t>
            </w:r>
          </w:p>
        </w:tc>
      </w:tr>
      <w:tr>
        <w:tc>
          <w:tcPr>
            <w:tcW w:type="dxa" w:w="3000"/>
          </w:tcPr>
          <w:p>
            <w:pPr>
              <w:widowControl/>
              <w:spacing w:after="0"/>
              <w:jc w:val="left"/>
            </w:pPr>
            <w:r>
              <w:rPr>
                <w:rFonts w:ascii="Aptos" w:hAnsi="Aptos"/>
                <w:b w:val="0"/>
                <w:i w:val="0"/>
                <w:color w:val="25313B"/>
                <w:sz w:val="17"/>
              </w:rPr>
              <w:t>Denver Animal Protection</w:t>
            </w:r>
          </w:p>
        </w:tc>
        <w:tc>
          <w:tcPr>
            <w:tcW w:type="dxa" w:w="1300"/>
          </w:tcPr>
          <w:p>
            <w:pPr>
              <w:widowControl/>
              <w:spacing w:after="0"/>
              <w:jc w:val="right"/>
            </w:pPr>
            <w:r>
              <w:rPr>
                <w:rFonts w:ascii="Aptos" w:hAnsi="Aptos"/>
                <w:b w:val="0"/>
                <w:i w:val="0"/>
                <w:color w:val="25313B"/>
                <w:sz w:val="17"/>
              </w:rPr>
              <w:t>7,717</w:t>
            </w:r>
          </w:p>
        </w:tc>
        <w:tc>
          <w:tcPr>
            <w:tcW w:type="dxa" w:w="1500"/>
          </w:tcPr>
          <w:p>
            <w:pPr>
              <w:widowControl/>
              <w:spacing w:after="0"/>
              <w:jc w:val="right"/>
            </w:pPr>
            <w:r>
              <w:rPr>
                <w:rFonts w:ascii="Aptos" w:hAnsi="Aptos"/>
                <w:b w:val="0"/>
                <w:i w:val="0"/>
                <w:color w:val="25313B"/>
                <w:sz w:val="17"/>
              </w:rPr>
              <w:t>1,274</w:t>
            </w:r>
          </w:p>
        </w:tc>
        <w:tc>
          <w:tcPr>
            <w:tcW w:type="dxa" w:w="1300"/>
          </w:tcPr>
          <w:p>
            <w:pPr>
              <w:widowControl/>
              <w:spacing w:after="0"/>
              <w:jc w:val="right"/>
            </w:pPr>
            <w:r>
              <w:rPr>
                <w:rFonts w:ascii="Aptos" w:hAnsi="Aptos"/>
                <w:b w:val="0"/>
                <w:i w:val="0"/>
                <w:color w:val="25313B"/>
                <w:sz w:val="17"/>
              </w:rPr>
              <w:t>83.41%</w:t>
            </w:r>
          </w:p>
        </w:tc>
        <w:tc>
          <w:tcPr>
            <w:tcW w:type="dxa" w:w="1500"/>
          </w:tcPr>
          <w:p>
            <w:pPr>
              <w:widowControl/>
              <w:spacing w:after="0"/>
              <w:jc w:val="right"/>
            </w:pPr>
            <w:r>
              <w:rPr>
                <w:rFonts w:ascii="Aptos" w:hAnsi="Aptos"/>
                <w:b w:val="0"/>
                <w:i w:val="0"/>
                <w:color w:val="25313B"/>
                <w:sz w:val="17"/>
              </w:rPr>
              <w:t>10.3%</w:t>
            </w:r>
          </w:p>
        </w:tc>
      </w:tr>
      <w:tr>
        <w:tc>
          <w:tcPr>
            <w:tcW w:type="dxa" w:w="3000"/>
            <w:shd w:fill="F5F8F9"/>
          </w:tcPr>
          <w:p>
            <w:pPr>
              <w:widowControl/>
              <w:spacing w:after="0"/>
              <w:jc w:val="left"/>
            </w:pPr>
            <w:r>
              <w:rPr>
                <w:rFonts w:ascii="Aptos" w:hAnsi="Aptos"/>
                <w:b w:val="0"/>
                <w:i w:val="0"/>
                <w:color w:val="25313B"/>
                <w:sz w:val="17"/>
              </w:rPr>
              <w:t>NOCO Humane</w:t>
            </w:r>
          </w:p>
        </w:tc>
        <w:tc>
          <w:tcPr>
            <w:tcW w:type="dxa" w:w="1300"/>
            <w:shd w:fill="F5F8F9"/>
          </w:tcPr>
          <w:p>
            <w:pPr>
              <w:widowControl/>
              <w:spacing w:after="0"/>
              <w:jc w:val="right"/>
            </w:pPr>
            <w:r>
              <w:rPr>
                <w:rFonts w:ascii="Aptos" w:hAnsi="Aptos"/>
                <w:b w:val="0"/>
                <w:i w:val="0"/>
                <w:color w:val="25313B"/>
                <w:sz w:val="17"/>
              </w:rPr>
              <w:t>10,556</w:t>
            </w:r>
          </w:p>
        </w:tc>
        <w:tc>
          <w:tcPr>
            <w:tcW w:type="dxa" w:w="1500"/>
            <w:shd w:fill="F5F8F9"/>
          </w:tcPr>
          <w:p>
            <w:pPr>
              <w:widowControl/>
              <w:spacing w:after="0"/>
              <w:jc w:val="right"/>
            </w:pPr>
            <w:r>
              <w:rPr>
                <w:rFonts w:ascii="Aptos" w:hAnsi="Aptos"/>
                <w:b w:val="0"/>
                <w:i w:val="0"/>
                <w:color w:val="25313B"/>
                <w:sz w:val="17"/>
              </w:rPr>
              <w:t>847</w:t>
            </w:r>
          </w:p>
        </w:tc>
        <w:tc>
          <w:tcPr>
            <w:tcW w:type="dxa" w:w="1300"/>
            <w:shd w:fill="F5F8F9"/>
          </w:tcPr>
          <w:p>
            <w:pPr>
              <w:widowControl/>
              <w:spacing w:after="0"/>
              <w:jc w:val="right"/>
            </w:pPr>
            <w:r>
              <w:rPr>
                <w:rFonts w:ascii="Aptos" w:hAnsi="Aptos"/>
                <w:b w:val="0"/>
                <w:i w:val="0"/>
                <w:color w:val="25313B"/>
                <w:sz w:val="17"/>
              </w:rPr>
              <w:t>91.91%</w:t>
            </w:r>
          </w:p>
        </w:tc>
        <w:tc>
          <w:tcPr>
            <w:tcW w:type="dxa" w:w="1500"/>
            <w:shd w:fill="F5F8F9"/>
          </w:tcPr>
          <w:p>
            <w:pPr>
              <w:widowControl/>
              <w:spacing w:after="0"/>
              <w:jc w:val="right"/>
            </w:pPr>
            <w:r>
              <w:rPr>
                <w:rFonts w:ascii="Aptos" w:hAnsi="Aptos"/>
                <w:b w:val="0"/>
                <w:i w:val="0"/>
                <w:color w:val="25313B"/>
                <w:sz w:val="17"/>
              </w:rPr>
              <w:t>6.8%</w:t>
            </w:r>
          </w:p>
        </w:tc>
      </w:tr>
      <w:tr>
        <w:tc>
          <w:tcPr>
            <w:tcW w:type="dxa" w:w="3000"/>
          </w:tcPr>
          <w:p>
            <w:pPr>
              <w:widowControl/>
              <w:spacing w:after="0"/>
              <w:jc w:val="left"/>
            </w:pPr>
            <w:r>
              <w:rPr>
                <w:rFonts w:ascii="Aptos" w:hAnsi="Aptos"/>
                <w:b w:val="0"/>
                <w:i w:val="0"/>
                <w:color w:val="25313B"/>
                <w:sz w:val="17"/>
              </w:rPr>
              <w:t>Riverdale</w:t>
            </w:r>
          </w:p>
        </w:tc>
        <w:tc>
          <w:tcPr>
            <w:tcW w:type="dxa" w:w="1300"/>
          </w:tcPr>
          <w:p>
            <w:pPr>
              <w:widowControl/>
              <w:spacing w:after="0"/>
              <w:jc w:val="right"/>
            </w:pPr>
            <w:r>
              <w:rPr>
                <w:rFonts w:ascii="Aptos" w:hAnsi="Aptos"/>
                <w:b w:val="0"/>
                <w:i w:val="0"/>
                <w:color w:val="25313B"/>
                <w:sz w:val="17"/>
              </w:rPr>
              <w:t>7,076</w:t>
            </w:r>
          </w:p>
        </w:tc>
        <w:tc>
          <w:tcPr>
            <w:tcW w:type="dxa" w:w="1500"/>
          </w:tcPr>
          <w:p>
            <w:pPr>
              <w:widowControl/>
              <w:spacing w:after="0"/>
              <w:jc w:val="right"/>
            </w:pPr>
            <w:r>
              <w:rPr>
                <w:rFonts w:ascii="Aptos" w:hAnsi="Aptos"/>
                <w:b w:val="0"/>
                <w:i w:val="0"/>
                <w:color w:val="25313B"/>
                <w:sz w:val="17"/>
              </w:rPr>
              <w:t>751</w:t>
            </w:r>
          </w:p>
        </w:tc>
        <w:tc>
          <w:tcPr>
            <w:tcW w:type="dxa" w:w="1300"/>
          </w:tcPr>
          <w:p>
            <w:pPr>
              <w:widowControl/>
              <w:spacing w:after="0"/>
              <w:jc w:val="right"/>
            </w:pPr>
            <w:r>
              <w:rPr>
                <w:rFonts w:ascii="Aptos" w:hAnsi="Aptos"/>
                <w:b w:val="0"/>
                <w:i w:val="0"/>
                <w:color w:val="25313B"/>
                <w:sz w:val="17"/>
              </w:rPr>
              <w:t>89.29%</w:t>
            </w:r>
          </w:p>
        </w:tc>
        <w:tc>
          <w:tcPr>
            <w:tcW w:type="dxa" w:w="1500"/>
          </w:tcPr>
          <w:p>
            <w:pPr>
              <w:widowControl/>
              <w:spacing w:after="0"/>
              <w:jc w:val="right"/>
            </w:pPr>
            <w:r>
              <w:rPr>
                <w:rFonts w:ascii="Aptos" w:hAnsi="Aptos"/>
                <w:b w:val="0"/>
                <w:i w:val="0"/>
                <w:color w:val="25313B"/>
                <w:sz w:val="17"/>
              </w:rPr>
              <w:t>6.1%</w:t>
            </w:r>
          </w:p>
        </w:tc>
      </w:tr>
      <w:tr>
        <w:tc>
          <w:tcPr>
            <w:tcW w:type="dxa" w:w="3000"/>
            <w:shd w:fill="F5F8F9"/>
          </w:tcPr>
          <w:p>
            <w:pPr>
              <w:widowControl/>
              <w:spacing w:after="0"/>
              <w:jc w:val="left"/>
            </w:pPr>
            <w:r>
              <w:rPr>
                <w:rFonts w:ascii="Aptos" w:hAnsi="Aptos"/>
                <w:b w:val="0"/>
                <w:i w:val="0"/>
                <w:color w:val="25313B"/>
                <w:sz w:val="17"/>
              </w:rPr>
              <w:t>Foothills</w:t>
            </w:r>
          </w:p>
        </w:tc>
        <w:tc>
          <w:tcPr>
            <w:tcW w:type="dxa" w:w="1300"/>
            <w:shd w:fill="F5F8F9"/>
          </w:tcPr>
          <w:p>
            <w:pPr>
              <w:widowControl/>
              <w:spacing w:after="0"/>
              <w:jc w:val="right"/>
            </w:pPr>
            <w:r>
              <w:rPr>
                <w:rFonts w:ascii="Aptos" w:hAnsi="Aptos"/>
                <w:b w:val="0"/>
                <w:i w:val="0"/>
                <w:color w:val="25313B"/>
                <w:sz w:val="17"/>
              </w:rPr>
              <w:t>7,750</w:t>
            </w:r>
          </w:p>
        </w:tc>
        <w:tc>
          <w:tcPr>
            <w:tcW w:type="dxa" w:w="1500"/>
            <w:shd w:fill="F5F8F9"/>
          </w:tcPr>
          <w:p>
            <w:pPr>
              <w:widowControl/>
              <w:spacing w:after="0"/>
              <w:jc w:val="right"/>
            </w:pPr>
            <w:r>
              <w:rPr>
                <w:rFonts w:ascii="Aptos" w:hAnsi="Aptos"/>
                <w:b w:val="0"/>
                <w:i w:val="0"/>
                <w:color w:val="25313B"/>
                <w:sz w:val="17"/>
              </w:rPr>
              <w:t>492</w:t>
            </w:r>
          </w:p>
        </w:tc>
        <w:tc>
          <w:tcPr>
            <w:tcW w:type="dxa" w:w="1300"/>
            <w:shd w:fill="F5F8F9"/>
          </w:tcPr>
          <w:p>
            <w:pPr>
              <w:widowControl/>
              <w:spacing w:after="0"/>
              <w:jc w:val="right"/>
            </w:pPr>
            <w:r>
              <w:rPr>
                <w:rFonts w:ascii="Aptos" w:hAnsi="Aptos"/>
                <w:b w:val="0"/>
                <w:i w:val="0"/>
                <w:color w:val="25313B"/>
                <w:sz w:val="17"/>
              </w:rPr>
              <w:t>93.71%</w:t>
            </w:r>
          </w:p>
        </w:tc>
        <w:tc>
          <w:tcPr>
            <w:tcW w:type="dxa" w:w="1500"/>
            <w:shd w:fill="F5F8F9"/>
          </w:tcPr>
          <w:p>
            <w:pPr>
              <w:widowControl/>
              <w:spacing w:after="0"/>
              <w:jc w:val="right"/>
            </w:pPr>
            <w:r>
              <w:rPr>
                <w:rFonts w:ascii="Aptos" w:hAnsi="Aptos"/>
                <w:b w:val="0"/>
                <w:i w:val="0"/>
                <w:color w:val="25313B"/>
                <w:sz w:val="17"/>
              </w:rPr>
              <w:t>4.0%</w:t>
            </w:r>
          </w:p>
        </w:tc>
      </w:tr>
      <w:tr>
        <w:tc>
          <w:tcPr>
            <w:tcW w:type="dxa" w:w="3000"/>
          </w:tcPr>
          <w:p>
            <w:pPr>
              <w:widowControl/>
              <w:spacing w:after="0"/>
              <w:jc w:val="left"/>
            </w:pPr>
            <w:r>
              <w:rPr>
                <w:rFonts w:ascii="Aptos" w:hAnsi="Aptos"/>
                <w:b w:val="0"/>
                <w:i w:val="0"/>
                <w:color w:val="25313B"/>
                <w:sz w:val="17"/>
              </w:rPr>
              <w:t>Aurora</w:t>
            </w:r>
          </w:p>
        </w:tc>
        <w:tc>
          <w:tcPr>
            <w:tcW w:type="dxa" w:w="1300"/>
          </w:tcPr>
          <w:p>
            <w:pPr>
              <w:widowControl/>
              <w:spacing w:after="0"/>
              <w:jc w:val="right"/>
            </w:pPr>
            <w:r>
              <w:rPr>
                <w:rFonts w:ascii="Aptos" w:hAnsi="Aptos"/>
                <w:b w:val="0"/>
                <w:i w:val="0"/>
                <w:color w:val="25313B"/>
                <w:sz w:val="17"/>
              </w:rPr>
              <w:t>3,182</w:t>
            </w:r>
          </w:p>
        </w:tc>
        <w:tc>
          <w:tcPr>
            <w:tcW w:type="dxa" w:w="1500"/>
          </w:tcPr>
          <w:p>
            <w:pPr>
              <w:widowControl/>
              <w:spacing w:after="0"/>
              <w:jc w:val="right"/>
            </w:pPr>
            <w:r>
              <w:rPr>
                <w:rFonts w:ascii="Aptos" w:hAnsi="Aptos"/>
                <w:b w:val="0"/>
                <w:i w:val="0"/>
                <w:color w:val="25313B"/>
                <w:sz w:val="17"/>
              </w:rPr>
              <w:t>380</w:t>
            </w:r>
          </w:p>
        </w:tc>
        <w:tc>
          <w:tcPr>
            <w:tcW w:type="dxa" w:w="1300"/>
          </w:tcPr>
          <w:p>
            <w:pPr>
              <w:widowControl/>
              <w:spacing w:after="0"/>
              <w:jc w:val="right"/>
            </w:pPr>
            <w:r>
              <w:rPr>
                <w:rFonts w:ascii="Aptos" w:hAnsi="Aptos"/>
                <w:b w:val="0"/>
                <w:i w:val="0"/>
                <w:color w:val="25313B"/>
                <w:sz w:val="17"/>
              </w:rPr>
              <w:t>87.98%</w:t>
            </w:r>
          </w:p>
        </w:tc>
        <w:tc>
          <w:tcPr>
            <w:tcW w:type="dxa" w:w="1500"/>
          </w:tcPr>
          <w:p>
            <w:pPr>
              <w:widowControl/>
              <w:spacing w:after="0"/>
              <w:jc w:val="right"/>
            </w:pPr>
            <w:r>
              <w:rPr>
                <w:rFonts w:ascii="Aptos" w:hAnsi="Aptos"/>
                <w:b w:val="0"/>
                <w:i w:val="0"/>
                <w:color w:val="25313B"/>
                <w:sz w:val="17"/>
              </w:rPr>
              <w:t>3.1%</w:t>
            </w:r>
          </w:p>
        </w:tc>
      </w:tr>
    </w:tbl>
    <w:p>
      <w:pPr>
        <w:widowControl/>
        <w:spacing w:before="40" w:after="160"/>
      </w:pPr>
      <w:r>
        <w:rPr>
          <w:rFonts w:ascii="Aptos" w:hAnsi="Aptos"/>
          <w:b/>
          <w:i w:val="0"/>
          <w:color w:val="5E6B75"/>
          <w:sz w:val="17"/>
        </w:rPr>
        <w:t xml:space="preserve">Evidence note: </w:t>
      </w:r>
      <w:r>
        <w:rPr>
          <w:rFonts w:ascii="Aptos" w:hAnsi="Aptos"/>
          <w:b w:val="0"/>
          <w:i w:val="0"/>
          <w:color w:val="5E6B75"/>
          <w:sz w:val="17"/>
        </w:rPr>
        <w:t>PACFA-2025-IND; economic-parent consolidation documented in verified baseline workbook v3.</w:t>
      </w:r>
    </w:p>
    <w:p>
      <w:pPr>
        <w:widowControl/>
        <w:spacing w:after="120" w:line="264" w:lineRule="auto"/>
      </w:pPr>
      <w:r>
        <w:rPr>
          <w:rFonts w:ascii="Aptos" w:hAnsi="Aptos"/>
          <w:b w:val="0"/>
          <w:i w:val="0"/>
          <w:color w:val="25313B"/>
          <w:sz w:val="21"/>
        </w:rPr>
        <w:t>This table is a screening tool, not a verdict. Open-admission obligations, species and age mix, enforcement duties, legal holds, service areas, condition at intake, and access policies all affect outcomes. Those factors should be tested rather than assumed. The proper response to a large non-live count is a deeper operational and animal-level review—not an unsupported conclusion about motive.</w:t>
      </w:r>
    </w:p>
    <w:p>
      <w:pPr>
        <w:pStyle w:val="Heading1"/>
        <w:keepNext/>
        <w:widowControl/>
      </w:pPr>
      <w:r>
        <w:t>Colorado’s Transfer Network Demonstrates Placement Capacity</w:t>
      </w:r>
    </w:p>
    <w:p>
      <w:pPr>
        <w:widowControl/>
        <w:spacing w:after="120" w:line="264" w:lineRule="auto"/>
      </w:pPr>
      <w:r>
        <w:rPr>
          <w:rFonts w:ascii="Aptos" w:hAnsi="Aptos"/>
          <w:b/>
          <w:i w:val="0"/>
          <w:color w:val="25313B"/>
          <w:sz w:val="21"/>
        </w:rPr>
        <w:t>Colorado organizations reported 25,103 dog and cat transfers into the state in 2025.</w:t>
      </w:r>
      <w:r>
        <w:rPr>
          <w:rFonts w:ascii="Aptos" w:hAnsi="Aptos"/>
          <w:b w:val="0"/>
          <w:i w:val="0"/>
          <w:color w:val="25313B"/>
          <w:sz w:val="21"/>
        </w:rPr>
        <w:t xml:space="preserve"> That does not prove direct displacement: an imported puppy and a local large adult dog with medical or behavioral needs may require very different adopters, foster homes, and services. It does prove that Colorado has a mature network capable of transporting, fostering, marketing, treating, and placing animals at significant scale.</w:t>
      </w:r>
    </w:p>
    <w:tbl>
      <w:tblPr>
        <w:tblW w:type="dxa" w:w="9360"/>
        <w:jc w:val="center"/>
        <w:tblLayout w:type="fixed"/>
        <w:tblLook w:firstColumn="1" w:firstRow="1" w:lastColumn="0" w:lastRow="0" w:noHBand="0" w:noVBand="1" w:val="04A0"/>
        <w:tblBorders>
          <w:top w:val="single" w:sz="4" w:color="CDD5DA"/>
          <w:left w:val="single" w:sz="4" w:color="CDD5DA"/>
          <w:bottom w:val="single" w:sz="4" w:color="CDD5DA"/>
          <w:right w:val="single" w:sz="4" w:color="CDD5DA"/>
          <w:insideH w:val="single" w:sz="4" w:color="CDD5DA"/>
          <w:insideV w:val="single" w:sz="4" w:color="CDD5DA"/>
        </w:tblBorders>
      </w:tblPr>
      <w:tblGrid>
        <w:gridCol w:w="3000"/>
        <w:gridCol w:w="3180"/>
        <w:gridCol w:w="3180"/>
      </w:tblGrid>
      <w:tr>
        <w:trPr>
          <w:tblHeader w:val="true"/>
        </w:trPr>
        <w:tc>
          <w:tcPr>
            <w:tcW w:type="dxa" w:w="3000"/>
            <w:tcMar>
              <w:top w:w="90" w:type="dxa"/>
              <w:start w:w="110" w:type="dxa"/>
              <w:bottom w:w="90" w:type="dxa"/>
              <w:end w:w="110" w:type="dxa"/>
            </w:tcMar>
            <w:vAlign w:val="center"/>
            <w:shd w:fill="1F6F78"/>
          </w:tcPr>
          <w:p>
            <w:pPr>
              <w:widowControl/>
              <w:spacing w:after="0"/>
              <w:jc w:val="center"/>
            </w:pPr>
            <w:r>
              <w:rPr>
                <w:rFonts w:ascii="Aptos" w:hAnsi="Aptos"/>
                <w:b/>
                <w:i w:val="0"/>
                <w:color w:val="FFFFFF"/>
                <w:sz w:val="18"/>
              </w:rPr>
              <w:t>Share of 2025 import capacity</w:t>
            </w:r>
          </w:p>
        </w:tc>
        <w:tc>
          <w:tcPr>
            <w:tcW w:type="dxa" w:w="3180"/>
            <w:tcMar>
              <w:top w:w="90" w:type="dxa"/>
              <w:start w:w="110" w:type="dxa"/>
              <w:bottom w:w="90" w:type="dxa"/>
              <w:end w:w="110" w:type="dxa"/>
            </w:tcMar>
            <w:vAlign w:val="center"/>
            <w:shd w:fill="1F6F78"/>
          </w:tcPr>
          <w:p>
            <w:pPr>
              <w:widowControl/>
              <w:spacing w:after="0"/>
              <w:jc w:val="center"/>
            </w:pPr>
            <w:r>
              <w:rPr>
                <w:rFonts w:ascii="Aptos" w:hAnsi="Aptos"/>
                <w:b/>
                <w:i w:val="0"/>
                <w:color w:val="FFFFFF"/>
                <w:sz w:val="18"/>
              </w:rPr>
              <w:t>Equivalent local placements</w:t>
            </w:r>
          </w:p>
        </w:tc>
        <w:tc>
          <w:tcPr>
            <w:tcW w:type="dxa" w:w="3180"/>
            <w:tcMar>
              <w:top w:w="90" w:type="dxa"/>
              <w:start w:w="110" w:type="dxa"/>
              <w:bottom w:w="90" w:type="dxa"/>
              <w:end w:w="110" w:type="dxa"/>
            </w:tcMar>
            <w:vAlign w:val="center"/>
            <w:shd w:fill="1F6F78"/>
          </w:tcPr>
          <w:p>
            <w:pPr>
              <w:widowControl/>
              <w:spacing w:after="0"/>
              <w:jc w:val="center"/>
            </w:pPr>
            <w:r>
              <w:rPr>
                <w:rFonts w:ascii="Aptos" w:hAnsi="Aptos"/>
                <w:b/>
                <w:i w:val="0"/>
                <w:color w:val="FFFFFF"/>
                <w:sz w:val="18"/>
              </w:rPr>
              <w:t>Imports still possible</w:t>
            </w:r>
          </w:p>
        </w:tc>
      </w:tr>
      <w:tr>
        <w:tc>
          <w:tcPr>
            <w:tcW w:type="dxa" w:w="3000"/>
          </w:tcPr>
          <w:p>
            <w:pPr>
              <w:widowControl/>
              <w:spacing w:after="0"/>
              <w:jc w:val="right"/>
            </w:pPr>
            <w:r>
              <w:rPr>
                <w:rFonts w:ascii="Aptos" w:hAnsi="Aptos"/>
                <w:b w:val="0"/>
                <w:i w:val="0"/>
                <w:color w:val="25313B"/>
                <w:sz w:val="18"/>
              </w:rPr>
              <w:t>5%</w:t>
            </w:r>
          </w:p>
        </w:tc>
        <w:tc>
          <w:tcPr>
            <w:tcW w:type="dxa" w:w="3180"/>
          </w:tcPr>
          <w:p>
            <w:pPr>
              <w:widowControl/>
              <w:spacing w:after="0"/>
              <w:jc w:val="right"/>
            </w:pPr>
            <w:r>
              <w:rPr>
                <w:rFonts w:ascii="Aptos" w:hAnsi="Aptos"/>
                <w:b w:val="0"/>
                <w:i w:val="0"/>
                <w:color w:val="25313B"/>
                <w:sz w:val="18"/>
              </w:rPr>
              <w:t>1,255</w:t>
            </w:r>
          </w:p>
        </w:tc>
        <w:tc>
          <w:tcPr>
            <w:tcW w:type="dxa" w:w="3180"/>
          </w:tcPr>
          <w:p>
            <w:pPr>
              <w:widowControl/>
              <w:spacing w:after="0"/>
              <w:jc w:val="right"/>
            </w:pPr>
            <w:r>
              <w:rPr>
                <w:rFonts w:ascii="Aptos" w:hAnsi="Aptos"/>
                <w:b w:val="0"/>
                <w:i w:val="0"/>
                <w:color w:val="25313B"/>
                <w:sz w:val="18"/>
              </w:rPr>
              <w:t>23,848</w:t>
            </w:r>
          </w:p>
        </w:tc>
      </w:tr>
      <w:tr>
        <w:tc>
          <w:tcPr>
            <w:tcW w:type="dxa" w:w="3000"/>
            <w:shd w:fill="F5F8F9"/>
          </w:tcPr>
          <w:p>
            <w:pPr>
              <w:widowControl/>
              <w:spacing w:after="0"/>
              <w:jc w:val="right"/>
            </w:pPr>
            <w:r>
              <w:rPr>
                <w:rFonts w:ascii="Aptos" w:hAnsi="Aptos"/>
                <w:b w:val="0"/>
                <w:i w:val="0"/>
                <w:color w:val="25313B"/>
                <w:sz w:val="18"/>
              </w:rPr>
              <w:t>10%</w:t>
            </w:r>
          </w:p>
        </w:tc>
        <w:tc>
          <w:tcPr>
            <w:tcW w:type="dxa" w:w="3180"/>
            <w:shd w:fill="F5F8F9"/>
          </w:tcPr>
          <w:p>
            <w:pPr>
              <w:widowControl/>
              <w:spacing w:after="0"/>
              <w:jc w:val="right"/>
            </w:pPr>
            <w:r>
              <w:rPr>
                <w:rFonts w:ascii="Aptos" w:hAnsi="Aptos"/>
                <w:b w:val="0"/>
                <w:i w:val="0"/>
                <w:color w:val="25313B"/>
                <w:sz w:val="18"/>
              </w:rPr>
              <w:t>2,510</w:t>
            </w:r>
          </w:p>
        </w:tc>
        <w:tc>
          <w:tcPr>
            <w:tcW w:type="dxa" w:w="3180"/>
            <w:shd w:fill="F5F8F9"/>
          </w:tcPr>
          <w:p>
            <w:pPr>
              <w:widowControl/>
              <w:spacing w:after="0"/>
              <w:jc w:val="right"/>
            </w:pPr>
            <w:r>
              <w:rPr>
                <w:rFonts w:ascii="Aptos" w:hAnsi="Aptos"/>
                <w:b w:val="0"/>
                <w:i w:val="0"/>
                <w:color w:val="25313B"/>
                <w:sz w:val="18"/>
              </w:rPr>
              <w:t>22,593</w:t>
            </w:r>
          </w:p>
        </w:tc>
      </w:tr>
      <w:tr>
        <w:tc>
          <w:tcPr>
            <w:tcW w:type="dxa" w:w="3000"/>
          </w:tcPr>
          <w:p>
            <w:pPr>
              <w:widowControl/>
              <w:spacing w:after="0"/>
              <w:jc w:val="right"/>
            </w:pPr>
            <w:r>
              <w:rPr>
                <w:rFonts w:ascii="Aptos" w:hAnsi="Aptos"/>
                <w:b w:val="0"/>
                <w:i w:val="0"/>
                <w:color w:val="25313B"/>
                <w:sz w:val="18"/>
              </w:rPr>
              <w:t>15%</w:t>
            </w:r>
          </w:p>
        </w:tc>
        <w:tc>
          <w:tcPr>
            <w:tcW w:type="dxa" w:w="3180"/>
          </w:tcPr>
          <w:p>
            <w:pPr>
              <w:widowControl/>
              <w:spacing w:after="0"/>
              <w:jc w:val="right"/>
            </w:pPr>
            <w:r>
              <w:rPr>
                <w:rFonts w:ascii="Aptos" w:hAnsi="Aptos"/>
                <w:b w:val="0"/>
                <w:i w:val="0"/>
                <w:color w:val="25313B"/>
                <w:sz w:val="18"/>
              </w:rPr>
              <w:t>3,765</w:t>
            </w:r>
          </w:p>
        </w:tc>
        <w:tc>
          <w:tcPr>
            <w:tcW w:type="dxa" w:w="3180"/>
          </w:tcPr>
          <w:p>
            <w:pPr>
              <w:widowControl/>
              <w:spacing w:after="0"/>
              <w:jc w:val="right"/>
            </w:pPr>
            <w:r>
              <w:rPr>
                <w:rFonts w:ascii="Aptos" w:hAnsi="Aptos"/>
                <w:b w:val="0"/>
                <w:i w:val="0"/>
                <w:color w:val="25313B"/>
                <w:sz w:val="18"/>
              </w:rPr>
              <w:t>21,338</w:t>
            </w:r>
          </w:p>
        </w:tc>
      </w:tr>
      <w:tr>
        <w:tc>
          <w:tcPr>
            <w:tcW w:type="dxa" w:w="3000"/>
            <w:shd w:fill="F5F8F9"/>
          </w:tcPr>
          <w:p>
            <w:pPr>
              <w:widowControl/>
              <w:spacing w:after="0"/>
              <w:jc w:val="right"/>
            </w:pPr>
            <w:r>
              <w:rPr>
                <w:rFonts w:ascii="Aptos" w:hAnsi="Aptos"/>
                <w:b w:val="0"/>
                <w:i w:val="0"/>
                <w:color w:val="25313B"/>
                <w:sz w:val="18"/>
              </w:rPr>
              <w:t>20%</w:t>
            </w:r>
          </w:p>
        </w:tc>
        <w:tc>
          <w:tcPr>
            <w:tcW w:type="dxa" w:w="3180"/>
            <w:shd w:fill="F5F8F9"/>
          </w:tcPr>
          <w:p>
            <w:pPr>
              <w:widowControl/>
              <w:spacing w:after="0"/>
              <w:jc w:val="right"/>
            </w:pPr>
            <w:r>
              <w:rPr>
                <w:rFonts w:ascii="Aptos" w:hAnsi="Aptos"/>
                <w:b w:val="0"/>
                <w:i w:val="0"/>
                <w:color w:val="25313B"/>
                <w:sz w:val="18"/>
              </w:rPr>
              <w:t>5,021</w:t>
            </w:r>
          </w:p>
        </w:tc>
        <w:tc>
          <w:tcPr>
            <w:tcW w:type="dxa" w:w="3180"/>
            <w:shd w:fill="F5F8F9"/>
          </w:tcPr>
          <w:p>
            <w:pPr>
              <w:widowControl/>
              <w:spacing w:after="0"/>
              <w:jc w:val="right"/>
            </w:pPr>
            <w:r>
              <w:rPr>
                <w:rFonts w:ascii="Aptos" w:hAnsi="Aptos"/>
                <w:b w:val="0"/>
                <w:i w:val="0"/>
                <w:color w:val="25313B"/>
                <w:sz w:val="18"/>
              </w:rPr>
              <w:t>20,082</w:t>
            </w:r>
          </w:p>
        </w:tc>
      </w:tr>
    </w:tbl>
    <w:p>
      <w:pPr>
        <w:widowControl/>
        <w:spacing w:before="40" w:after="160"/>
      </w:pPr>
      <w:r>
        <w:rPr>
          <w:rFonts w:ascii="Aptos" w:hAnsi="Aptos"/>
          <w:b/>
          <w:i w:val="0"/>
          <w:color w:val="5E6B75"/>
          <w:sz w:val="17"/>
        </w:rPr>
        <w:t xml:space="preserve">Evidence note: </w:t>
      </w:r>
      <w:r>
        <w:rPr>
          <w:rFonts w:ascii="Aptos" w:hAnsi="Aptos"/>
          <w:b w:val="0"/>
          <w:i w:val="0"/>
          <w:color w:val="5E6B75"/>
          <w:sz w:val="17"/>
        </w:rPr>
        <w:t>PACFA-2025-IND. Scenarios are capacity illustrations, not causal estimates.</w:t>
      </w:r>
    </w:p>
    <w:tbl>
      <w:tblPr>
        <w:tblW w:type="dxa" w:w="9360"/>
        <w:jc w:val="center"/>
        <w:tblLayout w:type="fixed"/>
        <w:tblLook w:firstColumn="1" w:firstRow="1" w:lastColumn="0" w:lastRow="0" w:noHBand="0" w:noVBand="1" w:val="04A0"/>
        <w:tblBorders>
          <w:top w:val="single" w:sz="2" w:color="E8F1F2"/>
          <w:left w:val="single" w:sz="2" w:color="E8F1F2"/>
          <w:bottom w:val="single" w:sz="2" w:color="E8F1F2"/>
          <w:right w:val="single" w:sz="2" w:color="E8F1F2"/>
          <w:insideH w:val="single" w:sz="2" w:color="E8F1F2"/>
          <w:insideV w:val="single" w:sz="2" w:color="E8F1F2"/>
        </w:tblBorders>
      </w:tblPr>
      <w:tblGrid>
        <w:gridCol w:w="9360"/>
      </w:tblGrid>
      <w:tr>
        <w:trPr>
          <w:tblHeader w:val="true"/>
        </w:trPr>
        <w:tc>
          <w:tcPr>
            <w:tcW w:type="dxa" w:w="9360"/>
            <w:tcMar>
              <w:top w:w="90" w:type="dxa"/>
              <w:start w:w="110" w:type="dxa"/>
              <w:bottom w:w="90" w:type="dxa"/>
              <w:end w:w="110" w:type="dxa"/>
            </w:tcMar>
            <w:vAlign w:val="center"/>
            <w:shd w:fill="E8F1F2"/>
          </w:tcPr>
          <w:p>
            <w:pPr>
              <w:widowControl/>
              <w:spacing w:after="0" w:line="259" w:lineRule="auto"/>
            </w:pPr>
            <w:r>
              <w:rPr>
                <w:rFonts w:ascii="Aptos" w:hAnsi="Aptos"/>
                <w:b/>
                <w:i w:val="0"/>
                <w:color w:val="18324A"/>
                <w:sz w:val="21"/>
              </w:rPr>
              <w:t xml:space="preserve">Interim policy implication: </w:t>
            </w:r>
            <w:r>
              <w:rPr>
                <w:rFonts w:ascii="Aptos" w:hAnsi="Aptos"/>
                <w:b w:val="0"/>
                <w:i w:val="0"/>
                <w:color w:val="25313B"/>
                <w:sz w:val="21"/>
              </w:rPr>
              <w:t>Colorado can adopt a local-first safety protocol for animals facing imminent non-live outcomes without ending interstate rescue. The next analysis must match species, age, size, condition, timing, foster needs, and final outcomes before assigning a precise number of transferable placement slots.</w:t>
            </w:r>
          </w:p>
        </w:tc>
      </w:tr>
    </w:tbl>
    <w:p>
      <w:pPr>
        <w:widowControl/>
        <w:spacing w:after="20"/>
      </w:pPr>
    </w:p>
    <w:p>
      <w:pPr>
        <w:pStyle w:val="Heading1"/>
        <w:keepNext/>
        <w:widowControl/>
      </w:pPr>
      <w:r>
        <w:t>Financial Evidence Shows Scale, Not Cause</w:t>
      </w:r>
    </w:p>
    <w:p>
      <w:pPr>
        <w:widowControl/>
        <w:spacing w:after="120" w:line="264" w:lineRule="auto"/>
      </w:pPr>
      <w:r>
        <w:rPr>
          <w:rFonts w:ascii="Aptos" w:hAnsi="Aptos"/>
          <w:b/>
          <w:i w:val="0"/>
          <w:color w:val="25313B"/>
          <w:sz w:val="21"/>
        </w:rPr>
        <w:t>The research has now verified audited statements or complete filings for several of Colorado’s largest systems.</w:t>
      </w:r>
      <w:r>
        <w:rPr>
          <w:rFonts w:ascii="Aptos" w:hAnsi="Aptos"/>
          <w:b w:val="0"/>
          <w:i w:val="0"/>
          <w:color w:val="25313B"/>
          <w:sz w:val="21"/>
        </w:rPr>
        <w:t xml:space="preserve"> These records establish organizational scale and the mix of private support, service revenue, government funding, assets, and program spending. They do not yet support a simple statewide ranking because the fiscal periods and program scopes differ.</w:t>
      </w:r>
    </w:p>
    <w:tbl>
      <w:tblPr>
        <w:tblW w:type="dxa" w:w="9360"/>
        <w:jc w:val="center"/>
        <w:tblLayout w:type="fixed"/>
        <w:tblLook w:firstColumn="1" w:firstRow="1" w:lastColumn="0" w:lastRow="0" w:noHBand="0" w:noVBand="1" w:val="04A0"/>
        <w:tblBorders>
          <w:top w:val="single" w:sz="4" w:color="CDD5DA"/>
          <w:left w:val="single" w:sz="4" w:color="CDD5DA"/>
          <w:bottom w:val="single" w:sz="4" w:color="CDD5DA"/>
          <w:right w:val="single" w:sz="4" w:color="CDD5DA"/>
          <w:insideH w:val="single" w:sz="4" w:color="CDD5DA"/>
          <w:insideV w:val="single" w:sz="4" w:color="CDD5DA"/>
        </w:tblBorders>
      </w:tblPr>
      <w:tblGrid>
        <w:gridCol w:w="2100"/>
        <w:gridCol w:w="1200"/>
        <w:gridCol w:w="1250"/>
        <w:gridCol w:w="1250"/>
        <w:gridCol w:w="3560"/>
      </w:tblGrid>
      <w:tr>
        <w:trPr>
          <w:tblHeader w:val="true"/>
        </w:trPr>
        <w:tc>
          <w:tcPr>
            <w:tcW w:type="dxa" w:w="2100"/>
            <w:tcMar>
              <w:top w:w="90" w:type="dxa"/>
              <w:start w:w="110" w:type="dxa"/>
              <w:bottom w:w="90" w:type="dxa"/>
              <w:end w:w="110" w:type="dxa"/>
            </w:tcMar>
            <w:vAlign w:val="center"/>
            <w:shd w:fill="1F6F78"/>
          </w:tcPr>
          <w:p>
            <w:pPr>
              <w:widowControl/>
              <w:spacing w:after="0"/>
              <w:jc w:val="left"/>
            </w:pPr>
            <w:r>
              <w:rPr>
                <w:rFonts w:ascii="Aptos" w:hAnsi="Aptos"/>
                <w:b/>
                <w:i w:val="0"/>
                <w:color w:val="FFFFFF"/>
                <w:sz w:val="16"/>
              </w:rPr>
              <w:t>Economic parent</w:t>
            </w:r>
          </w:p>
        </w:tc>
        <w:tc>
          <w:tcPr>
            <w:tcW w:type="dxa" w:w="1200"/>
            <w:tcMar>
              <w:top w:w="90" w:type="dxa"/>
              <w:start w:w="110" w:type="dxa"/>
              <w:bottom w:w="90" w:type="dxa"/>
              <w:end w:w="110" w:type="dxa"/>
            </w:tcMar>
            <w:vAlign w:val="center"/>
            <w:shd w:fill="1F6F78"/>
          </w:tcPr>
          <w:p>
            <w:pPr>
              <w:widowControl/>
              <w:spacing w:after="0"/>
              <w:jc w:val="left"/>
            </w:pPr>
            <w:r>
              <w:rPr>
                <w:rFonts w:ascii="Aptos" w:hAnsi="Aptos"/>
                <w:b/>
                <w:i w:val="0"/>
                <w:color w:val="FFFFFF"/>
                <w:sz w:val="16"/>
              </w:rPr>
              <w:t>Period</w:t>
            </w:r>
          </w:p>
        </w:tc>
        <w:tc>
          <w:tcPr>
            <w:tcW w:type="dxa" w:w="1250"/>
            <w:tcMar>
              <w:top w:w="90" w:type="dxa"/>
              <w:start w:w="110" w:type="dxa"/>
              <w:bottom w:w="90" w:type="dxa"/>
              <w:end w:w="110" w:type="dxa"/>
            </w:tcMar>
            <w:vAlign w:val="center"/>
            <w:shd w:fill="1F6F78"/>
          </w:tcPr>
          <w:p>
            <w:pPr>
              <w:widowControl/>
              <w:spacing w:after="0"/>
              <w:jc w:val="center"/>
            </w:pPr>
            <w:r>
              <w:rPr>
                <w:rFonts w:ascii="Aptos" w:hAnsi="Aptos"/>
                <w:b/>
                <w:i w:val="0"/>
                <w:color w:val="FFFFFF"/>
                <w:sz w:val="16"/>
              </w:rPr>
              <w:t>Revenue</w:t>
            </w:r>
          </w:p>
        </w:tc>
        <w:tc>
          <w:tcPr>
            <w:tcW w:type="dxa" w:w="1250"/>
            <w:tcMar>
              <w:top w:w="90" w:type="dxa"/>
              <w:start w:w="110" w:type="dxa"/>
              <w:bottom w:w="90" w:type="dxa"/>
              <w:end w:w="110" w:type="dxa"/>
            </w:tcMar>
            <w:vAlign w:val="center"/>
            <w:shd w:fill="1F6F78"/>
          </w:tcPr>
          <w:p>
            <w:pPr>
              <w:widowControl/>
              <w:spacing w:after="0"/>
              <w:jc w:val="center"/>
            </w:pPr>
            <w:r>
              <w:rPr>
                <w:rFonts w:ascii="Aptos" w:hAnsi="Aptos"/>
                <w:b/>
                <w:i w:val="0"/>
                <w:color w:val="FFFFFF"/>
                <w:sz w:val="16"/>
              </w:rPr>
              <w:t>Expense</w:t>
            </w:r>
          </w:p>
        </w:tc>
        <w:tc>
          <w:tcPr>
            <w:tcW w:type="dxa" w:w="3560"/>
            <w:tcMar>
              <w:top w:w="90" w:type="dxa"/>
              <w:start w:w="110" w:type="dxa"/>
              <w:bottom w:w="90" w:type="dxa"/>
              <w:end w:w="110" w:type="dxa"/>
            </w:tcMar>
            <w:vAlign w:val="center"/>
            <w:shd w:fill="1F6F78"/>
          </w:tcPr>
          <w:p>
            <w:pPr>
              <w:widowControl/>
              <w:spacing w:after="0"/>
              <w:jc w:val="left"/>
            </w:pPr>
            <w:r>
              <w:rPr>
                <w:rFonts w:ascii="Aptos" w:hAnsi="Aptos"/>
                <w:b/>
                <w:i w:val="0"/>
                <w:color w:val="FFFFFF"/>
                <w:sz w:val="16"/>
              </w:rPr>
              <w:t>Scope note</w:t>
            </w:r>
          </w:p>
        </w:tc>
      </w:tr>
      <w:tr>
        <w:tc>
          <w:tcPr>
            <w:tcW w:type="dxa" w:w="2100"/>
          </w:tcPr>
          <w:p>
            <w:pPr>
              <w:widowControl/>
              <w:spacing w:after="0"/>
              <w:jc w:val="left"/>
            </w:pPr>
            <w:r>
              <w:rPr>
                <w:rFonts w:ascii="Aptos" w:hAnsi="Aptos"/>
                <w:b w:val="0"/>
                <w:i w:val="0"/>
                <w:color w:val="25313B"/>
                <w:sz w:val="16"/>
              </w:rPr>
              <w:t>HSPPR</w:t>
            </w:r>
          </w:p>
        </w:tc>
        <w:tc>
          <w:tcPr>
            <w:tcW w:type="dxa" w:w="1200"/>
          </w:tcPr>
          <w:p>
            <w:pPr>
              <w:widowControl/>
              <w:spacing w:after="0"/>
              <w:jc w:val="left"/>
            </w:pPr>
            <w:r>
              <w:rPr>
                <w:rFonts w:ascii="Aptos" w:hAnsi="Aptos"/>
                <w:b w:val="0"/>
                <w:i w:val="0"/>
                <w:color w:val="25313B"/>
                <w:sz w:val="16"/>
              </w:rPr>
              <w:t>CY 2024</w:t>
            </w:r>
          </w:p>
        </w:tc>
        <w:tc>
          <w:tcPr>
            <w:tcW w:type="dxa" w:w="1250"/>
          </w:tcPr>
          <w:p>
            <w:pPr>
              <w:widowControl/>
              <w:spacing w:after="0"/>
              <w:jc w:val="right"/>
            </w:pPr>
            <w:r>
              <w:rPr>
                <w:rFonts w:ascii="Aptos" w:hAnsi="Aptos"/>
                <w:b w:val="0"/>
                <w:i w:val="0"/>
                <w:color w:val="25313B"/>
                <w:sz w:val="16"/>
              </w:rPr>
              <w:t>$22.05m</w:t>
            </w:r>
          </w:p>
        </w:tc>
        <w:tc>
          <w:tcPr>
            <w:tcW w:type="dxa" w:w="1250"/>
          </w:tcPr>
          <w:p>
            <w:pPr>
              <w:widowControl/>
              <w:spacing w:after="0"/>
              <w:jc w:val="right"/>
            </w:pPr>
            <w:r>
              <w:rPr>
                <w:rFonts w:ascii="Aptos" w:hAnsi="Aptos"/>
                <w:b w:val="0"/>
                <w:i w:val="0"/>
                <w:color w:val="25313B"/>
                <w:sz w:val="16"/>
              </w:rPr>
              <w:t>$23.45m</w:t>
            </w:r>
          </w:p>
        </w:tc>
        <w:tc>
          <w:tcPr>
            <w:tcW w:type="dxa" w:w="3560"/>
          </w:tcPr>
          <w:p>
            <w:pPr>
              <w:widowControl/>
              <w:spacing w:after="0"/>
              <w:jc w:val="left"/>
            </w:pPr>
            <w:r>
              <w:rPr>
                <w:rFonts w:ascii="Aptos" w:hAnsi="Aptos"/>
                <w:b w:val="0"/>
                <w:i w:val="0"/>
                <w:color w:val="25313B"/>
                <w:sz w:val="16"/>
              </w:rPr>
              <w:t>Shelter + law enforcement; Pueblo included</w:t>
            </w:r>
          </w:p>
        </w:tc>
      </w:tr>
      <w:tr>
        <w:tc>
          <w:tcPr>
            <w:tcW w:type="dxa" w:w="2100"/>
            <w:shd w:fill="F5F8F9"/>
          </w:tcPr>
          <w:p>
            <w:pPr>
              <w:widowControl/>
              <w:spacing w:after="0"/>
              <w:jc w:val="left"/>
            </w:pPr>
            <w:r>
              <w:rPr>
                <w:rFonts w:ascii="Aptos" w:hAnsi="Aptos"/>
                <w:b w:val="0"/>
                <w:i w:val="0"/>
                <w:color w:val="25313B"/>
                <w:sz w:val="16"/>
              </w:rPr>
              <w:t>Humane Colorado</w:t>
            </w:r>
          </w:p>
        </w:tc>
        <w:tc>
          <w:tcPr>
            <w:tcW w:type="dxa" w:w="1200"/>
            <w:shd w:fill="F5F8F9"/>
          </w:tcPr>
          <w:p>
            <w:pPr>
              <w:widowControl/>
              <w:spacing w:after="0"/>
              <w:jc w:val="left"/>
            </w:pPr>
            <w:r>
              <w:rPr>
                <w:rFonts w:ascii="Aptos" w:hAnsi="Aptos"/>
                <w:b w:val="0"/>
                <w:i w:val="0"/>
                <w:color w:val="25313B"/>
                <w:sz w:val="16"/>
              </w:rPr>
              <w:t>FY 2024</w:t>
            </w:r>
          </w:p>
        </w:tc>
        <w:tc>
          <w:tcPr>
            <w:tcW w:type="dxa" w:w="1250"/>
            <w:shd w:fill="F5F8F9"/>
          </w:tcPr>
          <w:p>
            <w:pPr>
              <w:widowControl/>
              <w:spacing w:after="0"/>
              <w:jc w:val="right"/>
            </w:pPr>
            <w:r>
              <w:rPr>
                <w:rFonts w:ascii="Aptos" w:hAnsi="Aptos"/>
                <w:b w:val="0"/>
                <w:i w:val="0"/>
                <w:color w:val="25313B"/>
                <w:sz w:val="16"/>
              </w:rPr>
              <w:t>$19.64m</w:t>
            </w:r>
          </w:p>
        </w:tc>
        <w:tc>
          <w:tcPr>
            <w:tcW w:type="dxa" w:w="1250"/>
            <w:shd w:fill="F5F8F9"/>
          </w:tcPr>
          <w:p>
            <w:pPr>
              <w:widowControl/>
              <w:spacing w:after="0"/>
              <w:jc w:val="right"/>
            </w:pPr>
            <w:r>
              <w:rPr>
                <w:rFonts w:ascii="Aptos" w:hAnsi="Aptos"/>
                <w:b w:val="0"/>
                <w:i w:val="0"/>
                <w:color w:val="25313B"/>
                <w:sz w:val="16"/>
              </w:rPr>
              <w:t>$35.97m</w:t>
            </w:r>
          </w:p>
        </w:tc>
        <w:tc>
          <w:tcPr>
            <w:tcW w:type="dxa" w:w="3560"/>
            <w:shd w:fill="F5F8F9"/>
          </w:tcPr>
          <w:p>
            <w:pPr>
              <w:widowControl/>
              <w:spacing w:after="0"/>
              <w:jc w:val="left"/>
            </w:pPr>
            <w:r>
              <w:rPr>
                <w:rFonts w:ascii="Aptos" w:hAnsi="Aptos"/>
                <w:b w:val="0"/>
                <w:i w:val="0"/>
                <w:color w:val="25313B"/>
                <w:sz w:val="16"/>
              </w:rPr>
              <w:t>Shelter, veterinary, equine, education, investigations</w:t>
            </w:r>
          </w:p>
        </w:tc>
      </w:tr>
      <w:tr>
        <w:tc>
          <w:tcPr>
            <w:tcW w:type="dxa" w:w="2100"/>
          </w:tcPr>
          <w:p>
            <w:pPr>
              <w:widowControl/>
              <w:spacing w:after="0"/>
              <w:jc w:val="left"/>
            </w:pPr>
            <w:r>
              <w:rPr>
                <w:rFonts w:ascii="Aptos" w:hAnsi="Aptos"/>
                <w:b w:val="0"/>
                <w:i w:val="0"/>
                <w:color w:val="25313B"/>
                <w:sz w:val="16"/>
              </w:rPr>
              <w:t>NOCO Humane</w:t>
            </w:r>
          </w:p>
        </w:tc>
        <w:tc>
          <w:tcPr>
            <w:tcW w:type="dxa" w:w="1200"/>
          </w:tcPr>
          <w:p>
            <w:pPr>
              <w:widowControl/>
              <w:spacing w:after="0"/>
              <w:jc w:val="left"/>
            </w:pPr>
            <w:r>
              <w:rPr>
                <w:rFonts w:ascii="Aptos" w:hAnsi="Aptos"/>
                <w:b w:val="0"/>
                <w:i w:val="0"/>
                <w:color w:val="25313B"/>
                <w:sz w:val="16"/>
              </w:rPr>
              <w:t>FY 2025</w:t>
            </w:r>
          </w:p>
        </w:tc>
        <w:tc>
          <w:tcPr>
            <w:tcW w:type="dxa" w:w="1250"/>
          </w:tcPr>
          <w:p>
            <w:pPr>
              <w:widowControl/>
              <w:spacing w:after="0"/>
              <w:jc w:val="right"/>
            </w:pPr>
            <w:r>
              <w:rPr>
                <w:rFonts w:ascii="Aptos" w:hAnsi="Aptos"/>
                <w:b w:val="0"/>
                <w:i w:val="0"/>
                <w:color w:val="25313B"/>
                <w:sz w:val="16"/>
              </w:rPr>
              <w:t>$11.53m</w:t>
            </w:r>
          </w:p>
        </w:tc>
        <w:tc>
          <w:tcPr>
            <w:tcW w:type="dxa" w:w="1250"/>
          </w:tcPr>
          <w:p>
            <w:pPr>
              <w:widowControl/>
              <w:spacing w:after="0"/>
              <w:jc w:val="right"/>
            </w:pPr>
            <w:r>
              <w:rPr>
                <w:rFonts w:ascii="Aptos" w:hAnsi="Aptos"/>
                <w:b w:val="0"/>
                <w:i w:val="0"/>
                <w:color w:val="25313B"/>
                <w:sz w:val="16"/>
              </w:rPr>
              <w:t>$11.00m</w:t>
            </w:r>
          </w:p>
        </w:tc>
        <w:tc>
          <w:tcPr>
            <w:tcW w:type="dxa" w:w="3560"/>
          </w:tcPr>
          <w:p>
            <w:pPr>
              <w:widowControl/>
              <w:spacing w:after="0"/>
              <w:jc w:val="left"/>
            </w:pPr>
            <w:r>
              <w:rPr>
                <w:rFonts w:ascii="Aptos" w:hAnsi="Aptos"/>
                <w:b w:val="0"/>
                <w:i w:val="0"/>
                <w:color w:val="25313B"/>
                <w:sz w:val="16"/>
              </w:rPr>
              <w:t>Larimer/Weld/Greeley parent; contracts and licensing included</w:t>
            </w:r>
          </w:p>
        </w:tc>
      </w:tr>
      <w:tr>
        <w:tc>
          <w:tcPr>
            <w:tcW w:type="dxa" w:w="2100"/>
            <w:shd w:fill="F5F8F9"/>
          </w:tcPr>
          <w:p>
            <w:pPr>
              <w:widowControl/>
              <w:spacing w:after="0"/>
              <w:jc w:val="left"/>
            </w:pPr>
            <w:r>
              <w:rPr>
                <w:rFonts w:ascii="Aptos" w:hAnsi="Aptos"/>
                <w:b w:val="0"/>
                <w:i w:val="0"/>
                <w:color w:val="25313B"/>
                <w:sz w:val="16"/>
              </w:rPr>
              <w:t>HSBV</w:t>
            </w:r>
          </w:p>
        </w:tc>
        <w:tc>
          <w:tcPr>
            <w:tcW w:type="dxa" w:w="1200"/>
            <w:shd w:fill="F5F8F9"/>
          </w:tcPr>
          <w:p>
            <w:pPr>
              <w:widowControl/>
              <w:spacing w:after="0"/>
              <w:jc w:val="left"/>
            </w:pPr>
            <w:r>
              <w:rPr>
                <w:rFonts w:ascii="Aptos" w:hAnsi="Aptos"/>
                <w:b w:val="0"/>
                <w:i w:val="0"/>
                <w:color w:val="25313B"/>
                <w:sz w:val="16"/>
              </w:rPr>
              <w:t>CY 2024</w:t>
            </w:r>
          </w:p>
        </w:tc>
        <w:tc>
          <w:tcPr>
            <w:tcW w:type="dxa" w:w="1250"/>
            <w:shd w:fill="F5F8F9"/>
          </w:tcPr>
          <w:p>
            <w:pPr>
              <w:widowControl/>
              <w:spacing w:after="0"/>
              <w:jc w:val="right"/>
            </w:pPr>
            <w:r>
              <w:rPr>
                <w:rFonts w:ascii="Aptos" w:hAnsi="Aptos"/>
                <w:b w:val="0"/>
                <w:i w:val="0"/>
                <w:color w:val="25313B"/>
                <w:sz w:val="16"/>
              </w:rPr>
              <w:t>$10.17m</w:t>
            </w:r>
          </w:p>
        </w:tc>
        <w:tc>
          <w:tcPr>
            <w:tcW w:type="dxa" w:w="1250"/>
            <w:shd w:fill="F5F8F9"/>
          </w:tcPr>
          <w:p>
            <w:pPr>
              <w:widowControl/>
              <w:spacing w:after="0"/>
              <w:jc w:val="right"/>
            </w:pPr>
            <w:r>
              <w:rPr>
                <w:rFonts w:ascii="Aptos" w:hAnsi="Aptos"/>
                <w:b w:val="0"/>
                <w:i w:val="0"/>
                <w:color w:val="25313B"/>
                <w:sz w:val="16"/>
              </w:rPr>
              <w:t>$8.13m</w:t>
            </w:r>
          </w:p>
        </w:tc>
        <w:tc>
          <w:tcPr>
            <w:tcW w:type="dxa" w:w="3560"/>
            <w:shd w:fill="F5F8F9"/>
          </w:tcPr>
          <w:p>
            <w:pPr>
              <w:widowControl/>
              <w:spacing w:after="0"/>
              <w:jc w:val="left"/>
            </w:pPr>
            <w:r>
              <w:rPr>
                <w:rFonts w:ascii="Aptos" w:hAnsi="Aptos"/>
                <w:b w:val="0"/>
                <w:i w:val="0"/>
                <w:color w:val="25313B"/>
                <w:sz w:val="16"/>
              </w:rPr>
              <w:t>Shelter/behavior/training plus clinic and outreach</w:t>
            </w:r>
          </w:p>
        </w:tc>
      </w:tr>
      <w:tr>
        <w:tc>
          <w:tcPr>
            <w:tcW w:type="dxa" w:w="2100"/>
          </w:tcPr>
          <w:p>
            <w:pPr>
              <w:widowControl/>
              <w:spacing w:after="0"/>
              <w:jc w:val="left"/>
            </w:pPr>
            <w:r>
              <w:rPr>
                <w:rFonts w:ascii="Aptos" w:hAnsi="Aptos"/>
                <w:b w:val="0"/>
                <w:i w:val="0"/>
                <w:color w:val="25313B"/>
                <w:sz w:val="16"/>
              </w:rPr>
              <w:t>Animal Friends Alliance</w:t>
            </w:r>
          </w:p>
        </w:tc>
        <w:tc>
          <w:tcPr>
            <w:tcW w:type="dxa" w:w="1200"/>
          </w:tcPr>
          <w:p>
            <w:pPr>
              <w:widowControl/>
              <w:spacing w:after="0"/>
              <w:jc w:val="left"/>
            </w:pPr>
            <w:r>
              <w:rPr>
                <w:rFonts w:ascii="Aptos" w:hAnsi="Aptos"/>
                <w:b w:val="0"/>
                <w:i w:val="0"/>
                <w:color w:val="25313B"/>
                <w:sz w:val="16"/>
              </w:rPr>
              <w:t>CY 2025</w:t>
            </w:r>
          </w:p>
        </w:tc>
        <w:tc>
          <w:tcPr>
            <w:tcW w:type="dxa" w:w="1250"/>
          </w:tcPr>
          <w:p>
            <w:pPr>
              <w:widowControl/>
              <w:spacing w:after="0"/>
              <w:jc w:val="right"/>
            </w:pPr>
            <w:r>
              <w:rPr>
                <w:rFonts w:ascii="Aptos" w:hAnsi="Aptos"/>
                <w:b w:val="0"/>
                <w:i w:val="0"/>
                <w:color w:val="25313B"/>
                <w:sz w:val="16"/>
              </w:rPr>
              <w:t>$5.82m</w:t>
            </w:r>
          </w:p>
        </w:tc>
        <w:tc>
          <w:tcPr>
            <w:tcW w:type="dxa" w:w="1250"/>
          </w:tcPr>
          <w:p>
            <w:pPr>
              <w:widowControl/>
              <w:spacing w:after="0"/>
              <w:jc w:val="right"/>
            </w:pPr>
            <w:r>
              <w:rPr>
                <w:rFonts w:ascii="Aptos" w:hAnsi="Aptos"/>
                <w:b w:val="0"/>
                <w:i w:val="0"/>
                <w:color w:val="25313B"/>
                <w:sz w:val="16"/>
              </w:rPr>
              <w:t>$5.17m</w:t>
            </w:r>
          </w:p>
        </w:tc>
        <w:tc>
          <w:tcPr>
            <w:tcW w:type="dxa" w:w="3560"/>
          </w:tcPr>
          <w:p>
            <w:pPr>
              <w:widowControl/>
              <w:spacing w:after="0"/>
              <w:jc w:val="left"/>
            </w:pPr>
            <w:r>
              <w:rPr>
                <w:rFonts w:ascii="Aptos" w:hAnsi="Aptos"/>
                <w:b w:val="0"/>
                <w:i w:val="0"/>
                <w:color w:val="25313B"/>
                <w:sz w:val="16"/>
              </w:rPr>
              <w:t>Shelter, clinic and related services</w:t>
            </w:r>
          </w:p>
        </w:tc>
      </w:tr>
      <w:tr>
        <w:tc>
          <w:tcPr>
            <w:tcW w:type="dxa" w:w="2100"/>
            <w:shd w:fill="F5F8F9"/>
          </w:tcPr>
          <w:p>
            <w:pPr>
              <w:widowControl/>
              <w:spacing w:after="0"/>
              <w:jc w:val="left"/>
            </w:pPr>
            <w:r>
              <w:rPr>
                <w:rFonts w:ascii="Aptos" w:hAnsi="Aptos"/>
                <w:b w:val="0"/>
                <w:i w:val="0"/>
                <w:color w:val="25313B"/>
                <w:sz w:val="16"/>
              </w:rPr>
              <w:t>Foothills Shelter</w:t>
            </w:r>
          </w:p>
        </w:tc>
        <w:tc>
          <w:tcPr>
            <w:tcW w:type="dxa" w:w="1200"/>
            <w:shd w:fill="F5F8F9"/>
          </w:tcPr>
          <w:p>
            <w:pPr>
              <w:widowControl/>
              <w:spacing w:after="0"/>
              <w:jc w:val="left"/>
            </w:pPr>
            <w:r>
              <w:rPr>
                <w:rFonts w:ascii="Aptos" w:hAnsi="Aptos"/>
                <w:b w:val="0"/>
                <w:i w:val="0"/>
                <w:color w:val="25313B"/>
                <w:sz w:val="16"/>
              </w:rPr>
              <w:t>CY 2024</w:t>
            </w:r>
          </w:p>
        </w:tc>
        <w:tc>
          <w:tcPr>
            <w:tcW w:type="dxa" w:w="1250"/>
            <w:shd w:fill="F5F8F9"/>
          </w:tcPr>
          <w:p>
            <w:pPr>
              <w:widowControl/>
              <w:spacing w:after="0"/>
              <w:jc w:val="right"/>
            </w:pPr>
            <w:r>
              <w:rPr>
                <w:rFonts w:ascii="Aptos" w:hAnsi="Aptos"/>
                <w:b w:val="0"/>
                <w:i w:val="0"/>
                <w:color w:val="25313B"/>
                <w:sz w:val="16"/>
              </w:rPr>
              <w:t>$5.94m</w:t>
            </w:r>
          </w:p>
        </w:tc>
        <w:tc>
          <w:tcPr>
            <w:tcW w:type="dxa" w:w="1250"/>
            <w:shd w:fill="F5F8F9"/>
          </w:tcPr>
          <w:p>
            <w:pPr>
              <w:widowControl/>
              <w:spacing w:after="0"/>
              <w:jc w:val="right"/>
            </w:pPr>
            <w:r>
              <w:rPr>
                <w:rFonts w:ascii="Aptos" w:hAnsi="Aptos"/>
                <w:b w:val="0"/>
                <w:i w:val="0"/>
                <w:color w:val="25313B"/>
                <w:sz w:val="16"/>
              </w:rPr>
              <w:t>$6.53m</w:t>
            </w:r>
          </w:p>
        </w:tc>
        <w:tc>
          <w:tcPr>
            <w:tcW w:type="dxa" w:w="3560"/>
            <w:shd w:fill="F5F8F9"/>
          </w:tcPr>
          <w:p>
            <w:pPr>
              <w:widowControl/>
              <w:spacing w:after="0"/>
              <w:jc w:val="left"/>
            </w:pPr>
            <w:r>
              <w:rPr>
                <w:rFonts w:ascii="Aptos" w:hAnsi="Aptos"/>
                <w:b w:val="0"/>
                <w:i w:val="0"/>
                <w:color w:val="25313B"/>
                <w:sz w:val="16"/>
              </w:rPr>
              <w:t>Government shelter; related Friends transfer eliminated</w:t>
            </w:r>
          </w:p>
        </w:tc>
      </w:tr>
      <w:tr>
        <w:tc>
          <w:tcPr>
            <w:tcW w:type="dxa" w:w="2100"/>
          </w:tcPr>
          <w:p>
            <w:pPr>
              <w:widowControl/>
              <w:spacing w:after="0"/>
              <w:jc w:val="left"/>
            </w:pPr>
            <w:r>
              <w:rPr>
                <w:rFonts w:ascii="Aptos" w:hAnsi="Aptos"/>
                <w:b w:val="0"/>
                <w:i w:val="0"/>
                <w:color w:val="25313B"/>
                <w:sz w:val="16"/>
              </w:rPr>
              <w:t>La Plata County HS</w:t>
            </w:r>
          </w:p>
        </w:tc>
        <w:tc>
          <w:tcPr>
            <w:tcW w:type="dxa" w:w="1200"/>
          </w:tcPr>
          <w:p>
            <w:pPr>
              <w:widowControl/>
              <w:spacing w:after="0"/>
              <w:jc w:val="left"/>
            </w:pPr>
            <w:r>
              <w:rPr>
                <w:rFonts w:ascii="Aptos" w:hAnsi="Aptos"/>
                <w:b w:val="0"/>
                <w:i w:val="0"/>
                <w:color w:val="25313B"/>
                <w:sz w:val="16"/>
              </w:rPr>
              <w:t>CY 2024</w:t>
            </w:r>
          </w:p>
        </w:tc>
        <w:tc>
          <w:tcPr>
            <w:tcW w:type="dxa" w:w="1250"/>
          </w:tcPr>
          <w:p>
            <w:pPr>
              <w:widowControl/>
              <w:spacing w:after="0"/>
              <w:jc w:val="right"/>
            </w:pPr>
            <w:r>
              <w:rPr>
                <w:rFonts w:ascii="Aptos" w:hAnsi="Aptos"/>
                <w:b w:val="0"/>
                <w:i w:val="0"/>
                <w:color w:val="25313B"/>
                <w:sz w:val="16"/>
              </w:rPr>
              <w:t>$3.21m</w:t>
            </w:r>
          </w:p>
        </w:tc>
        <w:tc>
          <w:tcPr>
            <w:tcW w:type="dxa" w:w="1250"/>
          </w:tcPr>
          <w:p>
            <w:pPr>
              <w:widowControl/>
              <w:spacing w:after="0"/>
              <w:jc w:val="right"/>
            </w:pPr>
            <w:r>
              <w:rPr>
                <w:rFonts w:ascii="Aptos" w:hAnsi="Aptos"/>
                <w:b w:val="0"/>
                <w:i w:val="0"/>
                <w:color w:val="25313B"/>
                <w:sz w:val="16"/>
              </w:rPr>
              <w:t>$3.08m</w:t>
            </w:r>
          </w:p>
        </w:tc>
        <w:tc>
          <w:tcPr>
            <w:tcW w:type="dxa" w:w="3560"/>
          </w:tcPr>
          <w:p>
            <w:pPr>
              <w:widowControl/>
              <w:spacing w:after="0"/>
              <w:jc w:val="left"/>
            </w:pPr>
            <w:r>
              <w:rPr>
                <w:rFonts w:ascii="Aptos" w:hAnsi="Aptos"/>
                <w:b w:val="0"/>
                <w:i w:val="0"/>
                <w:color w:val="25313B"/>
                <w:sz w:val="16"/>
              </w:rPr>
              <w:t>Complete Form 990</w:t>
            </w:r>
          </w:p>
        </w:tc>
      </w:tr>
      <w:tr>
        <w:tc>
          <w:tcPr>
            <w:tcW w:type="dxa" w:w="2100"/>
            <w:shd w:fill="F5F8F9"/>
          </w:tcPr>
          <w:p>
            <w:pPr>
              <w:widowControl/>
              <w:spacing w:after="0"/>
              <w:jc w:val="left"/>
            </w:pPr>
            <w:r>
              <w:rPr>
                <w:rFonts w:ascii="Aptos" w:hAnsi="Aptos"/>
                <w:b w:val="0"/>
                <w:i w:val="0"/>
                <w:color w:val="25313B"/>
                <w:sz w:val="16"/>
              </w:rPr>
              <w:t>Soul Dog Rescue</w:t>
            </w:r>
          </w:p>
        </w:tc>
        <w:tc>
          <w:tcPr>
            <w:tcW w:type="dxa" w:w="1200"/>
            <w:shd w:fill="F5F8F9"/>
          </w:tcPr>
          <w:p>
            <w:pPr>
              <w:widowControl/>
              <w:spacing w:after="0"/>
              <w:jc w:val="left"/>
            </w:pPr>
            <w:r>
              <w:rPr>
                <w:rFonts w:ascii="Aptos" w:hAnsi="Aptos"/>
                <w:b w:val="0"/>
                <w:i w:val="0"/>
                <w:color w:val="25313B"/>
                <w:sz w:val="16"/>
              </w:rPr>
              <w:t>CY 2024</w:t>
            </w:r>
          </w:p>
        </w:tc>
        <w:tc>
          <w:tcPr>
            <w:tcW w:type="dxa" w:w="1250"/>
            <w:shd w:fill="F5F8F9"/>
          </w:tcPr>
          <w:p>
            <w:pPr>
              <w:widowControl/>
              <w:spacing w:after="0"/>
              <w:jc w:val="right"/>
            </w:pPr>
            <w:r>
              <w:rPr>
                <w:rFonts w:ascii="Aptos" w:hAnsi="Aptos"/>
                <w:b w:val="0"/>
                <w:i w:val="0"/>
                <w:color w:val="25313B"/>
                <w:sz w:val="16"/>
              </w:rPr>
              <w:t>$1.86m</w:t>
            </w:r>
          </w:p>
        </w:tc>
        <w:tc>
          <w:tcPr>
            <w:tcW w:type="dxa" w:w="1250"/>
            <w:shd w:fill="F5F8F9"/>
          </w:tcPr>
          <w:p>
            <w:pPr>
              <w:widowControl/>
              <w:spacing w:after="0"/>
              <w:jc w:val="right"/>
            </w:pPr>
            <w:r>
              <w:rPr>
                <w:rFonts w:ascii="Aptos" w:hAnsi="Aptos"/>
                <w:b w:val="0"/>
                <w:i w:val="0"/>
                <w:color w:val="25313B"/>
                <w:sz w:val="16"/>
              </w:rPr>
              <w:t>$1.60m</w:t>
            </w:r>
          </w:p>
        </w:tc>
        <w:tc>
          <w:tcPr>
            <w:tcW w:type="dxa" w:w="3560"/>
            <w:shd w:fill="F5F8F9"/>
          </w:tcPr>
          <w:p>
            <w:pPr>
              <w:widowControl/>
              <w:spacing w:after="0"/>
              <w:jc w:val="left"/>
            </w:pPr>
            <w:r>
              <w:rPr>
                <w:rFonts w:ascii="Aptos" w:hAnsi="Aptos"/>
                <w:b w:val="0"/>
                <w:i w:val="0"/>
                <w:color w:val="25313B"/>
                <w:sz w:val="16"/>
              </w:rPr>
              <w:t>Complete Form 990</w:t>
            </w:r>
          </w:p>
        </w:tc>
      </w:tr>
    </w:tbl>
    <w:p>
      <w:pPr>
        <w:widowControl/>
        <w:spacing w:before="40" w:after="160"/>
      </w:pPr>
      <w:r>
        <w:rPr>
          <w:rFonts w:ascii="Aptos" w:hAnsi="Aptos"/>
          <w:b/>
          <w:i w:val="0"/>
          <w:color w:val="5E6B75"/>
          <w:sz w:val="17"/>
        </w:rPr>
        <w:t xml:space="preserve">Evidence note: </w:t>
      </w:r>
      <w:r>
        <w:rPr>
          <w:rFonts w:ascii="Aptos" w:hAnsi="Aptos"/>
          <w:b w:val="0"/>
          <w:i w:val="0"/>
          <w:color w:val="5E6B75"/>
          <w:sz w:val="17"/>
        </w:rPr>
        <w:t>Audited statements and complete filings listed in Appendix B. Periods and scopes are intentionally retained.</w:t>
      </w:r>
    </w:p>
    <w:p>
      <w:pPr>
        <w:widowControl/>
        <w:spacing w:after="120" w:line="264" w:lineRule="auto"/>
      </w:pPr>
      <w:r>
        <w:rPr>
          <w:rFonts w:ascii="Aptos" w:hAnsi="Aptos"/>
          <w:b w:val="0"/>
          <w:i w:val="0"/>
          <w:color w:val="25313B"/>
          <w:sz w:val="21"/>
        </w:rPr>
        <w:t>A major consolidation correction is already resolved: Foothills’ government shelter and its Friends fundraising entity cannot simply be added together. The Friends organization transferred $2.179 million to the shelter in 2024; that transfer must be eliminated to avoid double counting. Similar related-entity and campus issues must be resolved before a statewide financial total is published.</w:t>
      </w:r>
    </w:p>
    <w:p>
      <w:pPr>
        <w:pStyle w:val="Heading1"/>
        <w:keepNext/>
        <w:widowControl/>
      </w:pPr>
      <w:r>
        <w:t>Three Municipal Actuals Remain Open</w:t>
      </w:r>
    </w:p>
    <w:p>
      <w:pPr>
        <w:widowControl/>
        <w:spacing w:after="120" w:line="264" w:lineRule="auto"/>
      </w:pPr>
      <w:r>
        <w:rPr>
          <w:rFonts w:ascii="Aptos" w:hAnsi="Aptos"/>
          <w:b/>
          <w:i w:val="0"/>
          <w:color w:val="25313B"/>
          <w:sz w:val="21"/>
        </w:rPr>
        <w:t>The current public sources provide an adopted budget, amended budget, or projection for Denver, Riverdale, and Aurora—but not a final program actual with complete central-service allocations.</w:t>
      </w:r>
      <w:r>
        <w:rPr>
          <w:rFonts w:ascii="Aptos" w:hAnsi="Aptos"/>
          <w:b w:val="0"/>
          <w:i w:val="0"/>
          <w:color w:val="25313B"/>
          <w:sz w:val="21"/>
        </w:rPr>
        <w:t xml:space="preserve"> Those distinctions are not bookkeeping trivia. Substituting a budget or department-wide total for actual animal-services spending would create a false comparison.</w:t>
      </w:r>
    </w:p>
    <w:tbl>
      <w:tblPr>
        <w:tblW w:type="dxa" w:w="9360"/>
        <w:jc w:val="center"/>
        <w:tblLayout w:type="fixed"/>
        <w:tblLook w:firstColumn="1" w:firstRow="1" w:lastColumn="0" w:lastRow="0" w:noHBand="0" w:noVBand="1" w:val="04A0"/>
        <w:tblBorders>
          <w:top w:val="single" w:sz="4" w:color="CDD5DA"/>
          <w:left w:val="single" w:sz="4" w:color="CDD5DA"/>
          <w:bottom w:val="single" w:sz="4" w:color="CDD5DA"/>
          <w:right w:val="single" w:sz="4" w:color="CDD5DA"/>
          <w:insideH w:val="single" w:sz="4" w:color="CDD5DA"/>
          <w:insideV w:val="single" w:sz="4" w:color="CDD5DA"/>
        </w:tblBorders>
      </w:tblPr>
      <w:tblGrid>
        <w:gridCol w:w="2100"/>
        <w:gridCol w:w="2700"/>
        <w:gridCol w:w="1800"/>
        <w:gridCol w:w="2760"/>
      </w:tblGrid>
      <w:tr>
        <w:trPr>
          <w:tblHeader w:val="true"/>
        </w:trPr>
        <w:tc>
          <w:tcPr>
            <w:tcW w:type="dxa" w:w="2100"/>
            <w:tcMar>
              <w:top w:w="90" w:type="dxa"/>
              <w:start w:w="110" w:type="dxa"/>
              <w:bottom w:w="90" w:type="dxa"/>
              <w:end w:w="110" w:type="dxa"/>
            </w:tcMar>
            <w:vAlign w:val="center"/>
            <w:shd w:fill="1F6F78"/>
          </w:tcPr>
          <w:p>
            <w:pPr>
              <w:widowControl/>
              <w:spacing w:after="0"/>
              <w:jc w:val="left"/>
            </w:pPr>
            <w:r>
              <w:rPr>
                <w:rFonts w:ascii="Aptos" w:hAnsi="Aptos"/>
                <w:b/>
                <w:i w:val="0"/>
                <w:color w:val="FFFFFF"/>
                <w:sz w:val="16"/>
              </w:rPr>
              <w:t>Program</w:t>
            </w:r>
          </w:p>
        </w:tc>
        <w:tc>
          <w:tcPr>
            <w:tcW w:type="dxa" w:w="2700"/>
            <w:tcMar>
              <w:top w:w="90" w:type="dxa"/>
              <w:start w:w="110" w:type="dxa"/>
              <w:bottom w:w="90" w:type="dxa"/>
              <w:end w:w="110" w:type="dxa"/>
            </w:tcMar>
            <w:vAlign w:val="center"/>
            <w:shd w:fill="1F6F78"/>
          </w:tcPr>
          <w:p>
            <w:pPr>
              <w:widowControl/>
              <w:spacing w:after="0"/>
              <w:jc w:val="left"/>
            </w:pPr>
            <w:r>
              <w:rPr>
                <w:rFonts w:ascii="Aptos" w:hAnsi="Aptos"/>
                <w:b/>
                <w:i w:val="0"/>
                <w:color w:val="FFFFFF"/>
                <w:sz w:val="16"/>
              </w:rPr>
              <w:t>Public figure</w:t>
            </w:r>
          </w:p>
        </w:tc>
        <w:tc>
          <w:tcPr>
            <w:tcW w:type="dxa" w:w="1800"/>
            <w:tcMar>
              <w:top w:w="90" w:type="dxa"/>
              <w:start w:w="110" w:type="dxa"/>
              <w:bottom w:w="90" w:type="dxa"/>
              <w:end w:w="110" w:type="dxa"/>
            </w:tcMar>
            <w:vAlign w:val="center"/>
            <w:shd w:fill="1F6F78"/>
          </w:tcPr>
          <w:p>
            <w:pPr>
              <w:widowControl/>
              <w:spacing w:after="0"/>
              <w:jc w:val="left"/>
            </w:pPr>
            <w:r>
              <w:rPr>
                <w:rFonts w:ascii="Aptos" w:hAnsi="Aptos"/>
                <w:b/>
                <w:i w:val="0"/>
                <w:color w:val="FFFFFF"/>
                <w:sz w:val="16"/>
              </w:rPr>
              <w:t>Correct label</w:t>
            </w:r>
          </w:p>
        </w:tc>
        <w:tc>
          <w:tcPr>
            <w:tcW w:type="dxa" w:w="2760"/>
            <w:tcMar>
              <w:top w:w="90" w:type="dxa"/>
              <w:start w:w="110" w:type="dxa"/>
              <w:bottom w:w="90" w:type="dxa"/>
              <w:end w:w="110" w:type="dxa"/>
            </w:tcMar>
            <w:vAlign w:val="center"/>
            <w:shd w:fill="1F6F78"/>
          </w:tcPr>
          <w:p>
            <w:pPr>
              <w:widowControl/>
              <w:spacing w:after="0"/>
              <w:jc w:val="left"/>
            </w:pPr>
            <w:r>
              <w:rPr>
                <w:rFonts w:ascii="Aptos" w:hAnsi="Aptos"/>
                <w:b/>
                <w:i w:val="0"/>
                <w:color w:val="FFFFFF"/>
                <w:sz w:val="16"/>
              </w:rPr>
              <w:t>Still needed</w:t>
            </w:r>
          </w:p>
        </w:tc>
      </w:tr>
      <w:tr>
        <w:tc>
          <w:tcPr>
            <w:tcW w:type="dxa" w:w="2100"/>
          </w:tcPr>
          <w:p>
            <w:pPr>
              <w:widowControl/>
              <w:spacing w:after="0"/>
              <w:jc w:val="left"/>
            </w:pPr>
            <w:r>
              <w:rPr>
                <w:rFonts w:ascii="Aptos" w:hAnsi="Aptos"/>
                <w:b w:val="0"/>
                <w:i w:val="0"/>
                <w:color w:val="25313B"/>
                <w:sz w:val="16"/>
              </w:rPr>
              <w:t>Denver Animal Protection</w:t>
            </w:r>
          </w:p>
        </w:tc>
        <w:tc>
          <w:tcPr>
            <w:tcW w:type="dxa" w:w="2700"/>
          </w:tcPr>
          <w:p>
            <w:pPr>
              <w:widowControl/>
              <w:spacing w:after="0"/>
              <w:jc w:val="left"/>
            </w:pPr>
            <w:r>
              <w:rPr>
                <w:rFonts w:ascii="Aptos" w:hAnsi="Aptos"/>
                <w:b w:val="0"/>
                <w:i w:val="0"/>
                <w:color w:val="25313B"/>
                <w:sz w:val="16"/>
              </w:rPr>
              <w:t>$7.811m DAP adopted budget; $40.886m DDPHE actual</w:t>
            </w:r>
          </w:p>
        </w:tc>
        <w:tc>
          <w:tcPr>
            <w:tcW w:type="dxa" w:w="1800"/>
          </w:tcPr>
          <w:p>
            <w:pPr>
              <w:widowControl/>
              <w:spacing w:after="0"/>
              <w:jc w:val="left"/>
            </w:pPr>
            <w:r>
              <w:rPr>
                <w:rFonts w:ascii="Aptos" w:hAnsi="Aptos"/>
                <w:b w:val="0"/>
                <w:i w:val="0"/>
                <w:color w:val="25313B"/>
                <w:sz w:val="16"/>
              </w:rPr>
              <w:t>Program budget / department actual</w:t>
            </w:r>
          </w:p>
        </w:tc>
        <w:tc>
          <w:tcPr>
            <w:tcW w:type="dxa" w:w="2760"/>
          </w:tcPr>
          <w:p>
            <w:pPr>
              <w:widowControl/>
              <w:spacing w:after="0"/>
              <w:jc w:val="left"/>
            </w:pPr>
            <w:r>
              <w:rPr>
                <w:rFonts w:ascii="Aptos" w:hAnsi="Aptos"/>
                <w:b w:val="0"/>
                <w:i w:val="0"/>
                <w:color w:val="25313B"/>
                <w:sz w:val="16"/>
              </w:rPr>
              <w:t>DAP year-end ledger, internal billing, central-service allocations</w:t>
            </w:r>
          </w:p>
        </w:tc>
      </w:tr>
      <w:tr>
        <w:tc>
          <w:tcPr>
            <w:tcW w:type="dxa" w:w="2100"/>
            <w:shd w:fill="F5F8F9"/>
          </w:tcPr>
          <w:p>
            <w:pPr>
              <w:widowControl/>
              <w:spacing w:after="0"/>
              <w:jc w:val="left"/>
            </w:pPr>
            <w:r>
              <w:rPr>
                <w:rFonts w:ascii="Aptos" w:hAnsi="Aptos"/>
                <w:b w:val="0"/>
                <w:i w:val="0"/>
                <w:color w:val="25313B"/>
                <w:sz w:val="16"/>
              </w:rPr>
              <w:t>Riverdale</w:t>
            </w:r>
          </w:p>
        </w:tc>
        <w:tc>
          <w:tcPr>
            <w:tcW w:type="dxa" w:w="2700"/>
            <w:shd w:fill="F5F8F9"/>
          </w:tcPr>
          <w:p>
            <w:pPr>
              <w:widowControl/>
              <w:spacing w:after="0"/>
              <w:jc w:val="left"/>
            </w:pPr>
            <w:r>
              <w:rPr>
                <w:rFonts w:ascii="Aptos" w:hAnsi="Aptos"/>
                <w:b w:val="0"/>
                <w:i w:val="0"/>
                <w:color w:val="25313B"/>
                <w:sz w:val="16"/>
              </w:rPr>
              <w:t>$4.730m expense; $1.103m revenue</w:t>
            </w:r>
          </w:p>
        </w:tc>
        <w:tc>
          <w:tcPr>
            <w:tcW w:type="dxa" w:w="1800"/>
            <w:shd w:fill="F5F8F9"/>
          </w:tcPr>
          <w:p>
            <w:pPr>
              <w:widowControl/>
              <w:spacing w:after="0"/>
              <w:jc w:val="left"/>
            </w:pPr>
            <w:r>
              <w:rPr>
                <w:rFonts w:ascii="Aptos" w:hAnsi="Aptos"/>
                <w:b w:val="0"/>
                <w:i w:val="0"/>
                <w:color w:val="25313B"/>
                <w:sz w:val="16"/>
              </w:rPr>
              <w:t>2025 amended budget</w:t>
            </w:r>
          </w:p>
        </w:tc>
        <w:tc>
          <w:tcPr>
            <w:tcW w:type="dxa" w:w="2760"/>
            <w:shd w:fill="F5F8F9"/>
          </w:tcPr>
          <w:p>
            <w:pPr>
              <w:widowControl/>
              <w:spacing w:after="0"/>
              <w:jc w:val="left"/>
            </w:pPr>
            <w:r>
              <w:rPr>
                <w:rFonts w:ascii="Aptos" w:hAnsi="Aptos"/>
                <w:b w:val="0"/>
                <w:i w:val="0"/>
                <w:color w:val="25313B"/>
                <w:sz w:val="16"/>
              </w:rPr>
              <w:t>Final department actual and county indirect-cost schedule</w:t>
            </w:r>
          </w:p>
        </w:tc>
      </w:tr>
      <w:tr>
        <w:tc>
          <w:tcPr>
            <w:tcW w:type="dxa" w:w="2100"/>
          </w:tcPr>
          <w:p>
            <w:pPr>
              <w:widowControl/>
              <w:spacing w:after="0"/>
              <w:jc w:val="left"/>
            </w:pPr>
            <w:r>
              <w:rPr>
                <w:rFonts w:ascii="Aptos" w:hAnsi="Aptos"/>
                <w:b w:val="0"/>
                <w:i w:val="0"/>
                <w:color w:val="25313B"/>
                <w:sz w:val="16"/>
              </w:rPr>
              <w:t>Aurora Animal Services</w:t>
            </w:r>
          </w:p>
        </w:tc>
        <w:tc>
          <w:tcPr>
            <w:tcW w:type="dxa" w:w="2700"/>
          </w:tcPr>
          <w:p>
            <w:pPr>
              <w:widowControl/>
              <w:spacing w:after="0"/>
              <w:jc w:val="left"/>
            </w:pPr>
            <w:r>
              <w:rPr>
                <w:rFonts w:ascii="Aptos" w:hAnsi="Aptos"/>
                <w:b w:val="0"/>
                <w:i w:val="0"/>
                <w:color w:val="25313B"/>
                <w:sz w:val="16"/>
              </w:rPr>
              <w:t>$2.999m total; $84,634 interfund charges</w:t>
            </w:r>
          </w:p>
        </w:tc>
        <w:tc>
          <w:tcPr>
            <w:tcW w:type="dxa" w:w="1800"/>
          </w:tcPr>
          <w:p>
            <w:pPr>
              <w:widowControl/>
              <w:spacing w:after="0"/>
              <w:jc w:val="left"/>
            </w:pPr>
            <w:r>
              <w:rPr>
                <w:rFonts w:ascii="Aptos" w:hAnsi="Aptos"/>
                <w:b w:val="0"/>
                <w:i w:val="0"/>
                <w:color w:val="25313B"/>
                <w:sz w:val="16"/>
              </w:rPr>
              <w:t>2025 projection</w:t>
            </w:r>
          </w:p>
        </w:tc>
        <w:tc>
          <w:tcPr>
            <w:tcW w:type="dxa" w:w="2760"/>
          </w:tcPr>
          <w:p>
            <w:pPr>
              <w:widowControl/>
              <w:spacing w:after="0"/>
              <w:jc w:val="left"/>
            </w:pPr>
            <w:r>
              <w:rPr>
                <w:rFonts w:ascii="Aptos" w:hAnsi="Aptos"/>
                <w:b w:val="0"/>
                <w:i w:val="0"/>
                <w:color w:val="25313B"/>
                <w:sz w:val="16"/>
              </w:rPr>
              <w:t>Final program actual and allocated-charge workpapers</w:t>
            </w:r>
          </w:p>
        </w:tc>
      </w:tr>
    </w:tbl>
    <w:p>
      <w:pPr>
        <w:widowControl/>
        <w:spacing w:before="40" w:after="160"/>
      </w:pPr>
      <w:r>
        <w:rPr>
          <w:rFonts w:ascii="Aptos" w:hAnsi="Aptos"/>
          <w:b/>
          <w:i w:val="0"/>
          <w:color w:val="5E6B75"/>
          <w:sz w:val="17"/>
        </w:rPr>
        <w:t xml:space="preserve">Evidence note: </w:t>
      </w:r>
      <w:r>
        <w:rPr>
          <w:rFonts w:ascii="Aptos" w:hAnsi="Aptos"/>
          <w:b w:val="0"/>
          <w:i w:val="0"/>
          <w:color w:val="5E6B75"/>
          <w:sz w:val="17"/>
        </w:rPr>
        <w:t>FIN-DENVER-BUD-2025; FIN-DENVER-ACFR-2025; FIN-RIVERDALE-2026; FIN-AURORA-BUD-2026.</w:t>
      </w:r>
    </w:p>
    <w:p>
      <w:pPr>
        <w:pStyle w:val="Heading1"/>
        <w:keepNext/>
        <w:widowControl/>
      </w:pPr>
      <w:r>
        <w:t>The Central Evidence Gap Is Outcome Classification</w:t>
      </w:r>
    </w:p>
    <w:p>
      <w:pPr>
        <w:widowControl/>
        <w:spacing w:after="120" w:line="264" w:lineRule="auto"/>
      </w:pPr>
      <w:r>
        <w:rPr>
          <w:rFonts w:ascii="Aptos" w:hAnsi="Aptos"/>
          <w:b/>
          <w:i w:val="0"/>
          <w:color w:val="25313B"/>
          <w:sz w:val="21"/>
        </w:rPr>
        <w:t>The present data can count non-live outcomes but cannot classify their justification.</w:t>
      </w:r>
      <w:r>
        <w:rPr>
          <w:rFonts w:ascii="Aptos" w:hAnsi="Aptos"/>
          <w:b w:val="0"/>
          <w:i w:val="0"/>
          <w:color w:val="25313B"/>
          <w:sz w:val="21"/>
        </w:rPr>
        <w:t xml:space="preserve"> PACFA’s aggregate files do not contain the evidence necessary to separate irremediable suffering, grave public-safety cases, owner-requested end-of-life services, death in care, healthy animals, medically treatable animals, behaviorally treatable animals, and cases that are indeterminate because documentation is inadequate.</w:t>
      </w:r>
    </w:p>
    <w:tbl>
      <w:tblPr>
        <w:tblW w:type="dxa" w:w="9360"/>
        <w:jc w:val="center"/>
        <w:tblLayout w:type="fixed"/>
        <w:tblLook w:firstColumn="1" w:firstRow="1" w:lastColumn="0" w:lastRow="0" w:noHBand="0" w:noVBand="1" w:val="04A0"/>
        <w:tblBorders>
          <w:top w:val="single" w:sz="4" w:color="CDD5DA"/>
          <w:left w:val="single" w:sz="4" w:color="CDD5DA"/>
          <w:bottom w:val="single" w:sz="4" w:color="CDD5DA"/>
          <w:right w:val="single" w:sz="4" w:color="CDD5DA"/>
          <w:insideH w:val="single" w:sz="4" w:color="CDD5DA"/>
          <w:insideV w:val="single" w:sz="4" w:color="CDD5DA"/>
        </w:tblBorders>
      </w:tblPr>
      <w:tblGrid>
        <w:gridCol w:w="3000"/>
        <w:gridCol w:w="6360"/>
      </w:tblGrid>
      <w:tr>
        <w:trPr>
          <w:tblHeader w:val="true"/>
        </w:trPr>
        <w:tc>
          <w:tcPr>
            <w:tcW w:type="dxa" w:w="3000"/>
            <w:tcMar>
              <w:top w:w="90" w:type="dxa"/>
              <w:start w:w="110" w:type="dxa"/>
              <w:bottom w:w="90" w:type="dxa"/>
              <w:end w:w="110" w:type="dxa"/>
            </w:tcMar>
            <w:vAlign w:val="center"/>
            <w:shd w:fill="1F6F78"/>
          </w:tcPr>
          <w:p>
            <w:pPr>
              <w:widowControl/>
              <w:spacing w:after="0"/>
              <w:jc w:val="left"/>
            </w:pPr>
            <w:r>
              <w:rPr>
                <w:rFonts w:ascii="Aptos" w:hAnsi="Aptos"/>
                <w:b/>
                <w:i w:val="0"/>
                <w:color w:val="FFFFFF"/>
                <w:sz w:val="17"/>
              </w:rPr>
              <w:t>Minimum field</w:t>
            </w:r>
          </w:p>
        </w:tc>
        <w:tc>
          <w:tcPr>
            <w:tcW w:type="dxa" w:w="6360"/>
            <w:tcMar>
              <w:top w:w="90" w:type="dxa"/>
              <w:start w:w="110" w:type="dxa"/>
              <w:bottom w:w="90" w:type="dxa"/>
              <w:end w:w="110" w:type="dxa"/>
            </w:tcMar>
            <w:vAlign w:val="center"/>
            <w:shd w:fill="1F6F78"/>
          </w:tcPr>
          <w:p>
            <w:pPr>
              <w:widowControl/>
              <w:spacing w:after="0"/>
              <w:jc w:val="left"/>
            </w:pPr>
            <w:r>
              <w:rPr>
                <w:rFonts w:ascii="Aptos" w:hAnsi="Aptos"/>
                <w:b/>
                <w:i w:val="0"/>
                <w:color w:val="FFFFFF"/>
                <w:sz w:val="17"/>
              </w:rPr>
              <w:t>Why it matters</w:t>
            </w:r>
          </w:p>
        </w:tc>
      </w:tr>
      <w:tr>
        <w:tc>
          <w:tcPr>
            <w:tcW w:type="dxa" w:w="3000"/>
          </w:tcPr>
          <w:p>
            <w:pPr>
              <w:widowControl/>
              <w:spacing w:after="0"/>
              <w:jc w:val="left"/>
            </w:pPr>
            <w:r>
              <w:rPr>
                <w:rFonts w:ascii="Aptos" w:hAnsi="Aptos"/>
                <w:b w:val="0"/>
                <w:i w:val="0"/>
                <w:color w:val="25313B"/>
                <w:sz w:val="17"/>
              </w:rPr>
              <w:t>Medical prognosis</w:t>
            </w:r>
          </w:p>
        </w:tc>
        <w:tc>
          <w:tcPr>
            <w:tcW w:type="dxa" w:w="6360"/>
          </w:tcPr>
          <w:p>
            <w:pPr>
              <w:widowControl/>
              <w:spacing w:after="0"/>
              <w:jc w:val="left"/>
            </w:pPr>
            <w:r>
              <w:rPr>
                <w:rFonts w:ascii="Aptos" w:hAnsi="Aptos"/>
                <w:b w:val="0"/>
                <w:i w:val="0"/>
                <w:color w:val="25313B"/>
                <w:sz w:val="17"/>
              </w:rPr>
              <w:t>Distinguishes irremediable suffering from treatable conditions</w:t>
            </w:r>
          </w:p>
        </w:tc>
      </w:tr>
      <w:tr>
        <w:tc>
          <w:tcPr>
            <w:tcW w:type="dxa" w:w="3000"/>
            <w:shd w:fill="F5F8F9"/>
          </w:tcPr>
          <w:p>
            <w:pPr>
              <w:widowControl/>
              <w:spacing w:after="0"/>
              <w:jc w:val="left"/>
            </w:pPr>
            <w:r>
              <w:rPr>
                <w:rFonts w:ascii="Aptos" w:hAnsi="Aptos"/>
                <w:b w:val="0"/>
                <w:i w:val="0"/>
                <w:color w:val="25313B"/>
                <w:sz w:val="17"/>
              </w:rPr>
              <w:t>Behavior/safety assessment</w:t>
            </w:r>
          </w:p>
        </w:tc>
        <w:tc>
          <w:tcPr>
            <w:tcW w:type="dxa" w:w="6360"/>
            <w:shd w:fill="F5F8F9"/>
          </w:tcPr>
          <w:p>
            <w:pPr>
              <w:widowControl/>
              <w:spacing w:after="0"/>
              <w:jc w:val="left"/>
            </w:pPr>
            <w:r>
              <w:rPr>
                <w:rFonts w:ascii="Aptos" w:hAnsi="Aptos"/>
                <w:b w:val="0"/>
                <w:i w:val="0"/>
                <w:color w:val="25313B"/>
                <w:sz w:val="17"/>
              </w:rPr>
              <w:t>Documents instrument, observations, context, evaluator and reassessment</w:t>
            </w:r>
          </w:p>
        </w:tc>
      </w:tr>
      <w:tr>
        <w:tc>
          <w:tcPr>
            <w:tcW w:type="dxa" w:w="3000"/>
          </w:tcPr>
          <w:p>
            <w:pPr>
              <w:widowControl/>
              <w:spacing w:after="0"/>
              <w:jc w:val="left"/>
            </w:pPr>
            <w:r>
              <w:rPr>
                <w:rFonts w:ascii="Aptos" w:hAnsi="Aptos"/>
                <w:b w:val="0"/>
                <w:i w:val="0"/>
                <w:color w:val="25313B"/>
                <w:sz w:val="17"/>
              </w:rPr>
              <w:t>Owner-request status</w:t>
            </w:r>
          </w:p>
        </w:tc>
        <w:tc>
          <w:tcPr>
            <w:tcW w:type="dxa" w:w="6360"/>
          </w:tcPr>
          <w:p>
            <w:pPr>
              <w:widowControl/>
              <w:spacing w:after="0"/>
              <w:jc w:val="left"/>
            </w:pPr>
            <w:r>
              <w:rPr>
                <w:rFonts w:ascii="Aptos" w:hAnsi="Aptos"/>
                <w:b w:val="0"/>
                <w:i w:val="0"/>
                <w:color w:val="25313B"/>
                <w:sz w:val="17"/>
              </w:rPr>
              <w:t>Separates owner-directed end-of-life care from shelter decisions</w:t>
            </w:r>
          </w:p>
        </w:tc>
      </w:tr>
      <w:tr>
        <w:tc>
          <w:tcPr>
            <w:tcW w:type="dxa" w:w="3000"/>
            <w:shd w:fill="F5F8F9"/>
          </w:tcPr>
          <w:p>
            <w:pPr>
              <w:widowControl/>
              <w:spacing w:after="0"/>
              <w:jc w:val="left"/>
            </w:pPr>
            <w:r>
              <w:rPr>
                <w:rFonts w:ascii="Aptos" w:hAnsi="Aptos"/>
                <w:b w:val="0"/>
                <w:i w:val="0"/>
                <w:color w:val="25313B"/>
                <w:sz w:val="17"/>
              </w:rPr>
              <w:t>Custody and legal status</w:t>
            </w:r>
          </w:p>
        </w:tc>
        <w:tc>
          <w:tcPr>
            <w:tcW w:type="dxa" w:w="6360"/>
            <w:shd w:fill="F5F8F9"/>
          </w:tcPr>
          <w:p>
            <w:pPr>
              <w:widowControl/>
              <w:spacing w:after="0"/>
              <w:jc w:val="left"/>
            </w:pPr>
            <w:r>
              <w:rPr>
                <w:rFonts w:ascii="Aptos" w:hAnsi="Aptos"/>
                <w:b w:val="0"/>
                <w:i w:val="0"/>
                <w:color w:val="25313B"/>
                <w:sz w:val="17"/>
              </w:rPr>
              <w:t>Shows which placement options were legally available</w:t>
            </w:r>
          </w:p>
        </w:tc>
      </w:tr>
      <w:tr>
        <w:tc>
          <w:tcPr>
            <w:tcW w:type="dxa" w:w="3000"/>
          </w:tcPr>
          <w:p>
            <w:pPr>
              <w:widowControl/>
              <w:spacing w:after="0"/>
              <w:jc w:val="left"/>
            </w:pPr>
            <w:r>
              <w:rPr>
                <w:rFonts w:ascii="Aptos" w:hAnsi="Aptos"/>
                <w:b w:val="0"/>
                <w:i w:val="0"/>
                <w:color w:val="25313B"/>
                <w:sz w:val="17"/>
              </w:rPr>
              <w:t>Individualized outcome reason</w:t>
            </w:r>
          </w:p>
        </w:tc>
        <w:tc>
          <w:tcPr>
            <w:tcW w:type="dxa" w:w="6360"/>
          </w:tcPr>
          <w:p>
            <w:pPr>
              <w:widowControl/>
              <w:spacing w:after="0"/>
              <w:jc w:val="left"/>
            </w:pPr>
            <w:r>
              <w:rPr>
                <w:rFonts w:ascii="Aptos" w:hAnsi="Aptos"/>
                <w:b w:val="0"/>
                <w:i w:val="0"/>
                <w:color w:val="25313B"/>
                <w:sz w:val="17"/>
              </w:rPr>
              <w:t>Makes the decision auditable</w:t>
            </w:r>
          </w:p>
        </w:tc>
      </w:tr>
      <w:tr>
        <w:tc>
          <w:tcPr>
            <w:tcW w:type="dxa" w:w="3000"/>
            <w:shd w:fill="F5F8F9"/>
          </w:tcPr>
          <w:p>
            <w:pPr>
              <w:widowControl/>
              <w:spacing w:after="0"/>
              <w:jc w:val="left"/>
            </w:pPr>
            <w:r>
              <w:rPr>
                <w:rFonts w:ascii="Aptos" w:hAnsi="Aptos"/>
                <w:b w:val="0"/>
                <w:i w:val="0"/>
                <w:color w:val="25313B"/>
                <w:sz w:val="17"/>
              </w:rPr>
              <w:t>Alternatives attempted</w:t>
            </w:r>
          </w:p>
        </w:tc>
        <w:tc>
          <w:tcPr>
            <w:tcW w:type="dxa" w:w="6360"/>
            <w:shd w:fill="F5F8F9"/>
          </w:tcPr>
          <w:p>
            <w:pPr>
              <w:widowControl/>
              <w:spacing w:after="0"/>
              <w:jc w:val="left"/>
            </w:pPr>
            <w:r>
              <w:rPr>
                <w:rFonts w:ascii="Aptos" w:hAnsi="Aptos"/>
                <w:b w:val="0"/>
                <w:i w:val="0"/>
                <w:color w:val="25313B"/>
                <w:sz w:val="17"/>
              </w:rPr>
              <w:t>Records treatment, foster, transfer, rescue, adoption and safety options</w:t>
            </w:r>
          </w:p>
        </w:tc>
      </w:tr>
    </w:tbl>
    <w:p>
      <w:pPr>
        <w:widowControl/>
        <w:spacing w:before="40" w:after="160"/>
      </w:pPr>
      <w:r>
        <w:rPr>
          <w:rFonts w:ascii="Aptos" w:hAnsi="Aptos"/>
          <w:b/>
          <w:i w:val="0"/>
          <w:color w:val="5E6B75"/>
          <w:sz w:val="17"/>
        </w:rPr>
        <w:t xml:space="preserve">Evidence note: </w:t>
      </w:r>
      <w:r>
        <w:rPr>
          <w:rFonts w:ascii="Aptos" w:hAnsi="Aptos"/>
          <w:b w:val="0"/>
          <w:i w:val="0"/>
          <w:color w:val="5E6B75"/>
          <w:sz w:val="17"/>
        </w:rPr>
        <w:t>Outcome Data Gap sheet, verified baseline workbook v3.</w:t>
      </w:r>
    </w:p>
    <w:tbl>
      <w:tblPr>
        <w:tblW w:type="dxa" w:w="9360"/>
        <w:jc w:val="center"/>
        <w:tblLayout w:type="fixed"/>
        <w:tblLook w:firstColumn="1" w:firstRow="1" w:lastColumn="0" w:lastRow="0" w:noHBand="0" w:noVBand="1" w:val="04A0"/>
        <w:tblBorders>
          <w:top w:val="single" w:sz="2" w:color="FFF4D6"/>
          <w:left w:val="single" w:sz="2" w:color="FFF4D6"/>
          <w:bottom w:val="single" w:sz="2" w:color="FFF4D6"/>
          <w:right w:val="single" w:sz="2" w:color="FFF4D6"/>
          <w:insideH w:val="single" w:sz="2" w:color="FFF4D6"/>
          <w:insideV w:val="single" w:sz="2" w:color="FFF4D6"/>
        </w:tblBorders>
      </w:tblPr>
      <w:tblGrid>
        <w:gridCol w:w="9360"/>
      </w:tblGrid>
      <w:tr>
        <w:trPr>
          <w:tblHeader w:val="true"/>
        </w:trPr>
        <w:tc>
          <w:tcPr>
            <w:tcW w:type="dxa" w:w="9360"/>
            <w:tcMar>
              <w:top w:w="90" w:type="dxa"/>
              <w:start w:w="110" w:type="dxa"/>
              <w:bottom w:w="90" w:type="dxa"/>
              <w:end w:w="110" w:type="dxa"/>
            </w:tcMar>
            <w:vAlign w:val="center"/>
            <w:shd w:fill="FFF4D6"/>
          </w:tcPr>
          <w:p>
            <w:pPr>
              <w:widowControl/>
              <w:spacing w:after="0" w:line="259" w:lineRule="auto"/>
            </w:pPr>
            <w:r>
              <w:rPr>
                <w:rFonts w:ascii="Aptos" w:hAnsi="Aptos"/>
                <w:b/>
                <w:i w:val="0"/>
                <w:color w:val="18324A"/>
                <w:sz w:val="21"/>
              </w:rPr>
              <w:t xml:space="preserve">Interpretation rule: </w:t>
            </w:r>
            <w:r>
              <w:rPr>
                <w:rFonts w:ascii="Aptos" w:hAnsi="Aptos"/>
                <w:b w:val="0"/>
                <w:i w:val="0"/>
                <w:color w:val="25313B"/>
                <w:sz w:val="21"/>
              </w:rPr>
              <w:t>The absence or cost of historical records is a transparency limitation. It is not, by itself, proof that a shelter intentionally avoided oversight. Motivation should be described only when documentary evidence supports it.</w:t>
            </w:r>
          </w:p>
        </w:tc>
      </w:tr>
    </w:tbl>
    <w:p>
      <w:pPr>
        <w:widowControl/>
        <w:spacing w:after="20"/>
      </w:pPr>
    </w:p>
    <w:p>
      <w:pPr>
        <w:pStyle w:val="Heading1"/>
        <w:keepNext/>
        <w:widowControl/>
      </w:pPr>
      <w:r>
        <w:t>Interim Recommendations</w:t>
      </w:r>
    </w:p>
    <w:p>
      <w:pPr>
        <w:pStyle w:val="ListNumber"/>
        <w:widowControl/>
        <w:spacing w:after="120" w:line="259" w:lineRule="auto"/>
        <w:ind w:left="720" w:hanging="360"/>
      </w:pPr>
      <w:r>
        <w:rPr>
          <w:rFonts w:ascii="Aptos" w:hAnsi="Aptos"/>
          <w:b/>
          <w:i w:val="0"/>
          <w:color w:val="25313B"/>
          <w:sz w:val="21"/>
        </w:rPr>
        <w:t xml:space="preserve">Create statewide decision-level outcome reporting. </w:t>
      </w:r>
      <w:r>
        <w:rPr>
          <w:rFonts w:ascii="Aptos" w:hAnsi="Aptos"/>
          <w:b w:val="0"/>
          <w:i w:val="0"/>
          <w:color w:val="25313B"/>
          <w:sz w:val="21"/>
        </w:rPr>
        <w:t>Require structured medical prognosis, behavior/safety findings, owner-request status, custody status, individualized reason, decision date, reviewer, and alternatives attempted for every non-live outcome.</w:t>
      </w:r>
    </w:p>
    <w:p>
      <w:pPr>
        <w:pStyle w:val="ListNumber"/>
        <w:widowControl/>
        <w:spacing w:after="120" w:line="259" w:lineRule="auto"/>
        <w:ind w:left="720" w:hanging="360"/>
      </w:pPr>
      <w:r>
        <w:rPr>
          <w:rFonts w:ascii="Aptos" w:hAnsi="Aptos"/>
          <w:b/>
          <w:i w:val="0"/>
          <w:color w:val="25313B"/>
          <w:sz w:val="21"/>
        </w:rPr>
        <w:t xml:space="preserve">Establish a local-at-risk placement protocol. </w:t>
      </w:r>
      <w:r>
        <w:rPr>
          <w:rFonts w:ascii="Aptos" w:hAnsi="Aptos"/>
          <w:b w:val="0"/>
          <w:i w:val="0"/>
          <w:color w:val="25313B"/>
          <w:sz w:val="21"/>
        </w:rPr>
        <w:t>Before an animal faces a non-live outcome, provide timely statewide rescue and foster notice and give qualified partners meaningful time and complete records to respond.</w:t>
      </w:r>
    </w:p>
    <w:p>
      <w:pPr>
        <w:pStyle w:val="ListNumber"/>
        <w:widowControl/>
        <w:spacing w:after="120" w:line="259" w:lineRule="auto"/>
        <w:ind w:left="720" w:hanging="360"/>
      </w:pPr>
      <w:r>
        <w:rPr>
          <w:rFonts w:ascii="Aptos" w:hAnsi="Aptos"/>
          <w:b/>
          <w:i w:val="0"/>
          <w:color w:val="25313B"/>
          <w:sz w:val="21"/>
        </w:rPr>
        <w:t xml:space="preserve">Target corrective work where the outcomes are concentrated. </w:t>
      </w:r>
      <w:r>
        <w:rPr>
          <w:rFonts w:ascii="Aptos" w:hAnsi="Aptos"/>
          <w:b w:val="0"/>
          <w:i w:val="0"/>
          <w:color w:val="25313B"/>
          <w:sz w:val="21"/>
        </w:rPr>
        <w:t>Begin with the economic parents responsible for most non-live outcomes, while controlling for intake duties, species, age, legal holds, geography, and condition at intake.</w:t>
      </w:r>
    </w:p>
    <w:p>
      <w:pPr>
        <w:pStyle w:val="ListNumber"/>
        <w:widowControl/>
        <w:spacing w:after="120" w:line="259" w:lineRule="auto"/>
        <w:ind w:left="720" w:hanging="360"/>
      </w:pPr>
      <w:r>
        <w:rPr>
          <w:rFonts w:ascii="Aptos" w:hAnsi="Aptos"/>
          <w:b/>
          <w:i w:val="0"/>
          <w:color w:val="25313B"/>
          <w:sz w:val="21"/>
        </w:rPr>
        <w:t xml:space="preserve">Measure program scale, not program existence. </w:t>
      </w:r>
      <w:r>
        <w:rPr>
          <w:rFonts w:ascii="Aptos" w:hAnsi="Aptos"/>
          <w:b w:val="0"/>
          <w:i w:val="0"/>
          <w:color w:val="25313B"/>
          <w:sz w:val="21"/>
        </w:rPr>
        <w:t>Report the number and share of eligible animals receiving foster pleas, rescue notice, medical or behavioral treatment, proactive reunification, adoption marketing, and retention assistance.</w:t>
      </w:r>
    </w:p>
    <w:p>
      <w:pPr>
        <w:pStyle w:val="ListNumber"/>
        <w:widowControl/>
        <w:spacing w:after="120" w:line="259" w:lineRule="auto"/>
        <w:ind w:left="720" w:hanging="360"/>
      </w:pPr>
      <w:r>
        <w:rPr>
          <w:rFonts w:ascii="Aptos" w:hAnsi="Aptos"/>
          <w:b/>
          <w:i w:val="0"/>
          <w:color w:val="25313B"/>
          <w:sz w:val="21"/>
        </w:rPr>
        <w:t xml:space="preserve">Modernize municipal contracts. </w:t>
      </w:r>
      <w:r>
        <w:rPr>
          <w:rFonts w:ascii="Aptos" w:hAnsi="Aptos"/>
          <w:b w:val="0"/>
          <w:i w:val="0"/>
          <w:color w:val="25313B"/>
          <w:sz w:val="21"/>
        </w:rPr>
        <w:t>Tie public funding to transparent intake access, reunification, rescue cooperation, treatment, foster utilization, live outcomes, data quality, and corrective plans—not merely custody and volume.</w:t>
      </w:r>
    </w:p>
    <w:p>
      <w:pPr>
        <w:pStyle w:val="ListNumber"/>
        <w:widowControl/>
        <w:spacing w:after="120" w:line="259" w:lineRule="auto"/>
        <w:ind w:left="720" w:hanging="360"/>
      </w:pPr>
      <w:r>
        <w:rPr>
          <w:rFonts w:ascii="Aptos" w:hAnsi="Aptos"/>
          <w:b/>
          <w:i w:val="0"/>
          <w:color w:val="25313B"/>
          <w:sz w:val="21"/>
        </w:rPr>
        <w:t xml:space="preserve">Complete the municipal financial record. </w:t>
      </w:r>
      <w:r>
        <w:rPr>
          <w:rFonts w:ascii="Aptos" w:hAnsi="Aptos"/>
          <w:b w:val="0"/>
          <w:i w:val="0"/>
          <w:color w:val="25313B"/>
          <w:sz w:val="21"/>
        </w:rPr>
        <w:t>Obtain Denver, Riverdale, and Aurora final program actuals, internal billings, indirect-cost schedules, and central-service allocations before publishing cost comparisons.</w:t>
      </w:r>
    </w:p>
    <w:p>
      <w:pPr>
        <w:pStyle w:val="ListNumber"/>
        <w:widowControl/>
        <w:spacing w:after="120" w:line="259" w:lineRule="auto"/>
        <w:ind w:left="720" w:hanging="360"/>
      </w:pPr>
      <w:r>
        <w:rPr>
          <w:rFonts w:ascii="Aptos" w:hAnsi="Aptos"/>
          <w:b/>
          <w:i w:val="0"/>
          <w:color w:val="25313B"/>
          <w:sz w:val="21"/>
        </w:rPr>
        <w:t xml:space="preserve">Preserve interstate rescue while reserving capacity for Colorado animals. </w:t>
      </w:r>
      <w:r>
        <w:rPr>
          <w:rFonts w:ascii="Aptos" w:hAnsi="Aptos"/>
          <w:b w:val="0"/>
          <w:i w:val="0"/>
          <w:color w:val="25313B"/>
          <w:sz w:val="21"/>
        </w:rPr>
        <w:t>Use matched species-, age-, size-, condition-, and timing-based analysis to identify the modest share of existing placement capacity needed for local animals facing death.</w:t>
      </w:r>
    </w:p>
    <w:p>
      <w:pPr>
        <w:pStyle w:val="ListNumber"/>
        <w:widowControl/>
        <w:spacing w:after="120" w:line="259" w:lineRule="auto"/>
        <w:ind w:left="720" w:hanging="360"/>
      </w:pPr>
      <w:r>
        <w:rPr>
          <w:rFonts w:ascii="Aptos" w:hAnsi="Aptos"/>
          <w:b/>
          <w:i w:val="0"/>
          <w:color w:val="25313B"/>
          <w:sz w:val="21"/>
        </w:rPr>
        <w:t xml:space="preserve">Create an annual independent accountability cycle. </w:t>
      </w:r>
      <w:r>
        <w:rPr>
          <w:rFonts w:ascii="Aptos" w:hAnsi="Aptos"/>
          <w:b w:val="0"/>
          <w:i w:val="0"/>
          <w:color w:val="25313B"/>
          <w:sz w:val="21"/>
        </w:rPr>
        <w:t>Publish formulas, denominators, source documents, missing-data flags, and supported corrections; give featured organizations a fair opportunity to respond with records.</w:t>
      </w:r>
    </w:p>
    <w:p>
      <w:pPr>
        <w:pStyle w:val="Heading1"/>
        <w:keepNext/>
        <w:widowControl/>
      </w:pPr>
      <w:r>
        <w:t>Further Questions</w:t>
      </w:r>
    </w:p>
    <w:p>
      <w:pPr>
        <w:pStyle w:val="ListBullet"/>
        <w:widowControl/>
        <w:spacing w:after="100" w:line="259" w:lineRule="auto"/>
        <w:ind w:left="720" w:hanging="360"/>
      </w:pPr>
      <w:r>
        <w:rPr>
          <w:rFonts w:ascii="Aptos" w:hAnsi="Aptos"/>
          <w:b w:val="0"/>
          <w:i w:val="0"/>
          <w:color w:val="25313B"/>
          <w:sz w:val="21"/>
        </w:rPr>
        <w:t>What proportion of 2025 non-live outcomes involved confirmed irremediable suffering, grave safety risk, owner-requested end-of-life services, treatable conditions, or healthy animals?</w:t>
      </w:r>
    </w:p>
    <w:p>
      <w:pPr>
        <w:pStyle w:val="ListBullet"/>
        <w:widowControl/>
        <w:spacing w:after="100" w:line="259" w:lineRule="auto"/>
        <w:ind w:left="720" w:hanging="360"/>
      </w:pPr>
      <w:r>
        <w:rPr>
          <w:rFonts w:ascii="Aptos" w:hAnsi="Aptos"/>
          <w:b w:val="0"/>
          <w:i w:val="0"/>
          <w:color w:val="25313B"/>
          <w:sz w:val="21"/>
        </w:rPr>
        <w:t>Which organizations import the most animals, and how do species, age, size, condition, foster type, timing, and final outcomes compare with local at-risk animals?</w:t>
      </w:r>
    </w:p>
    <w:p>
      <w:pPr>
        <w:pStyle w:val="ListBullet"/>
        <w:widowControl/>
        <w:spacing w:after="100" w:line="259" w:lineRule="auto"/>
        <w:ind w:left="720" w:hanging="360"/>
      </w:pPr>
      <w:r>
        <w:rPr>
          <w:rFonts w:ascii="Aptos" w:hAnsi="Aptos"/>
          <w:b w:val="0"/>
          <w:i w:val="0"/>
          <w:color w:val="25313B"/>
          <w:sz w:val="21"/>
        </w:rPr>
        <w:t>How long do residents wait to surrender or bring in found animals, and how many animals are refused, diverted, abandoned, or kept outside the measured system?</w:t>
      </w:r>
    </w:p>
    <w:p>
      <w:pPr>
        <w:pStyle w:val="ListBullet"/>
        <w:widowControl/>
        <w:spacing w:after="100" w:line="259" w:lineRule="auto"/>
        <w:ind w:left="720" w:hanging="360"/>
      </w:pPr>
      <w:r>
        <w:rPr>
          <w:rFonts w:ascii="Aptos" w:hAnsi="Aptos"/>
          <w:b w:val="0"/>
          <w:i w:val="0"/>
          <w:color w:val="25313B"/>
          <w:sz w:val="21"/>
        </w:rPr>
        <w:t>Which rescue, foster, adoption, reunification, treatment, retention, volunteer, and community-cat programs operate at the scale of need?</w:t>
      </w:r>
    </w:p>
    <w:p>
      <w:pPr>
        <w:pStyle w:val="ListBullet"/>
        <w:widowControl/>
        <w:spacing w:after="100" w:line="259" w:lineRule="auto"/>
        <w:ind w:left="720" w:hanging="360"/>
      </w:pPr>
      <w:r>
        <w:rPr>
          <w:rFonts w:ascii="Aptos" w:hAnsi="Aptos"/>
          <w:b w:val="0"/>
          <w:i w:val="0"/>
          <w:color w:val="25313B"/>
          <w:sz w:val="21"/>
        </w:rPr>
        <w:t>What do municipal contracts require, reward, measure, and fail to measure?</w:t>
      </w:r>
    </w:p>
    <w:p>
      <w:pPr>
        <w:pStyle w:val="ListBullet"/>
        <w:widowControl/>
        <w:spacing w:after="100" w:line="259" w:lineRule="auto"/>
        <w:ind w:left="720" w:hanging="360"/>
      </w:pPr>
      <w:r>
        <w:rPr>
          <w:rFonts w:ascii="Aptos" w:hAnsi="Aptos"/>
          <w:b w:val="0"/>
          <w:i w:val="0"/>
          <w:color w:val="25313B"/>
          <w:sz w:val="21"/>
        </w:rPr>
        <w:t>Which Colorado facilities are true peers after controlling for mission, intake responsibility, species and age mix, legal holds, geography, and service population?</w:t>
      </w:r>
    </w:p>
    <w:p>
      <w:pPr>
        <w:pStyle w:val="Heading1"/>
        <w:keepNext/>
        <w:widowControl/>
      </w:pPr>
      <w:r>
        <w:t>Caveats and Assumptions</w:t>
      </w:r>
    </w:p>
    <w:p>
      <w:pPr>
        <w:widowControl/>
        <w:spacing w:after="120" w:line="264" w:lineRule="auto"/>
      </w:pPr>
      <w:r>
        <w:rPr>
          <w:rFonts w:ascii="Aptos" w:hAnsi="Aptos"/>
          <w:b/>
          <w:i w:val="0"/>
          <w:color w:val="25313B"/>
          <w:sz w:val="21"/>
        </w:rPr>
        <w:t>Transactions are not unique animals.</w:t>
      </w:r>
      <w:r>
        <w:rPr>
          <w:rFonts w:ascii="Aptos" w:hAnsi="Aptos"/>
          <w:b w:val="0"/>
          <w:i w:val="0"/>
          <w:color w:val="25313B"/>
          <w:sz w:val="21"/>
        </w:rPr>
        <w:t xml:space="preserve"> Transfers within Colorado can produce more than one intake and outcome for the same animal.</w:t>
      </w:r>
    </w:p>
    <w:p>
      <w:pPr>
        <w:widowControl/>
        <w:spacing w:after="120" w:line="264" w:lineRule="auto"/>
      </w:pPr>
      <w:r>
        <w:rPr>
          <w:rFonts w:ascii="Aptos" w:hAnsi="Aptos"/>
          <w:b/>
          <w:i w:val="0"/>
          <w:color w:val="25313B"/>
          <w:sz w:val="21"/>
        </w:rPr>
        <w:t>Non-live is not synonymous with preventable loss.</w:t>
      </w:r>
      <w:r>
        <w:rPr>
          <w:rFonts w:ascii="Aptos" w:hAnsi="Aptos"/>
          <w:b w:val="0"/>
          <w:i w:val="0"/>
          <w:color w:val="25313B"/>
          <w:sz w:val="21"/>
        </w:rPr>
        <w:t xml:space="preserve"> The aggregate data do not establish health, treatability, suffering, public-safety risk, or owner-request status.</w:t>
      </w:r>
    </w:p>
    <w:p>
      <w:pPr>
        <w:widowControl/>
        <w:spacing w:after="120" w:line="264" w:lineRule="auto"/>
      </w:pPr>
      <w:r>
        <w:rPr>
          <w:rFonts w:ascii="Aptos" w:hAnsi="Aptos"/>
          <w:b/>
          <w:i w:val="0"/>
          <w:color w:val="25313B"/>
          <w:sz w:val="21"/>
        </w:rPr>
        <w:t>A 90% rate is only a diagnostic floor.</w:t>
      </w:r>
      <w:r>
        <w:rPr>
          <w:rFonts w:ascii="Aptos" w:hAnsi="Aptos"/>
          <w:b w:val="0"/>
          <w:i w:val="0"/>
          <w:color w:val="25313B"/>
          <w:sz w:val="21"/>
        </w:rPr>
        <w:t xml:space="preserve"> It is neither the objective nor evidence that every healthy and treatable pet was protected.</w:t>
      </w:r>
    </w:p>
    <w:p>
      <w:pPr>
        <w:widowControl/>
        <w:spacing w:after="120" w:line="264" w:lineRule="auto"/>
      </w:pPr>
      <w:r>
        <w:rPr>
          <w:rFonts w:ascii="Aptos" w:hAnsi="Aptos"/>
          <w:b/>
          <w:i w:val="0"/>
          <w:color w:val="25313B"/>
          <w:sz w:val="21"/>
        </w:rPr>
        <w:t>Transfer volume demonstrates capacity, not displacement.</w:t>
      </w:r>
      <w:r>
        <w:rPr>
          <w:rFonts w:ascii="Aptos" w:hAnsi="Aptos"/>
          <w:b w:val="0"/>
          <w:i w:val="0"/>
          <w:color w:val="25313B"/>
          <w:sz w:val="21"/>
        </w:rPr>
        <w:t xml:space="preserve"> A causal claim requires matching animal characteristics, timing, foster needs and placement outcomes.</w:t>
      </w:r>
    </w:p>
    <w:p>
      <w:pPr>
        <w:widowControl/>
        <w:spacing w:after="120" w:line="264" w:lineRule="auto"/>
      </w:pPr>
      <w:r>
        <w:rPr>
          <w:rFonts w:ascii="Aptos" w:hAnsi="Aptos"/>
          <w:b/>
          <w:i w:val="0"/>
          <w:color w:val="25313B"/>
          <w:sz w:val="21"/>
        </w:rPr>
        <w:t>Financial scale does not establish misuse or causation.</w:t>
      </w:r>
      <w:r>
        <w:rPr>
          <w:rFonts w:ascii="Aptos" w:hAnsi="Aptos"/>
          <w:b w:val="0"/>
          <w:i w:val="0"/>
          <w:color w:val="25313B"/>
          <w:sz w:val="21"/>
        </w:rPr>
        <w:t xml:space="preserve"> Periods, campuses, clinics, enforcement, education, capital, restrictions, and related entities must be aligned.</w:t>
      </w:r>
    </w:p>
    <w:p>
      <w:pPr>
        <w:widowControl/>
        <w:spacing w:after="120" w:line="264" w:lineRule="auto"/>
      </w:pPr>
      <w:r>
        <w:rPr>
          <w:rFonts w:ascii="Aptos" w:hAnsi="Aptos"/>
          <w:b/>
          <w:i w:val="0"/>
          <w:color w:val="25313B"/>
          <w:sz w:val="21"/>
        </w:rPr>
        <w:t>Historical license records are identity evidence only.</w:t>
      </w:r>
      <w:r>
        <w:rPr>
          <w:rFonts w:ascii="Aptos" w:hAnsi="Aptos"/>
          <w:b w:val="0"/>
          <w:i w:val="0"/>
          <w:color w:val="25313B"/>
          <w:sz w:val="21"/>
        </w:rPr>
        <w:t xml:space="preserve"> The July 2019 roster does not establish an organization’s calendar-year 2025 PACFA status.</w:t>
      </w:r>
    </w:p>
    <w:p>
      <w:pPr>
        <w:widowControl/>
        <w:spacing w:after="120" w:line="264" w:lineRule="auto"/>
      </w:pPr>
      <w:r>
        <w:rPr>
          <w:rFonts w:ascii="Aptos" w:hAnsi="Aptos"/>
          <w:b/>
          <w:i w:val="0"/>
          <w:color w:val="25313B"/>
          <w:sz w:val="21"/>
        </w:rPr>
        <w:t>Missing records remain missing.</w:t>
      </w:r>
      <w:r>
        <w:rPr>
          <w:rFonts w:ascii="Aptos" w:hAnsi="Aptos"/>
          <w:b w:val="0"/>
          <w:i w:val="0"/>
          <w:color w:val="25313B"/>
          <w:sz w:val="21"/>
        </w:rPr>
        <w:t xml:space="preserve"> The report does not treat absent disposition data or unavailable municipal allocation schedules as zero.</w:t>
      </w:r>
    </w:p>
    <w:p>
      <w:pPr>
        <w:widowControl/>
      </w:pPr>
      <w:r>
        <w:br w:type="page"/>
      </w:r>
    </w:p>
    <w:p>
      <w:pPr>
        <w:pStyle w:val="Heading1"/>
        <w:keepNext/>
        <w:widowControl/>
      </w:pPr>
      <w:r>
        <w:t>Appendix A — Method and Definitions</w:t>
      </w:r>
    </w:p>
    <w:tbl>
      <w:tblPr>
        <w:tblW w:type="dxa" w:w="9360"/>
        <w:jc w:val="center"/>
        <w:tblLayout w:type="fixed"/>
        <w:tblLook w:firstColumn="1" w:firstRow="1" w:lastColumn="0" w:lastRow="0" w:noHBand="0" w:noVBand="1" w:val="04A0"/>
        <w:tblBorders>
          <w:top w:val="single" w:sz="4" w:color="CDD5DA"/>
          <w:left w:val="single" w:sz="4" w:color="CDD5DA"/>
          <w:bottom w:val="single" w:sz="4" w:color="CDD5DA"/>
          <w:right w:val="single" w:sz="4" w:color="CDD5DA"/>
          <w:insideH w:val="single" w:sz="4" w:color="CDD5DA"/>
          <w:insideV w:val="single" w:sz="4" w:color="CDD5DA"/>
        </w:tblBorders>
      </w:tblPr>
      <w:tblGrid>
        <w:gridCol w:w="2500"/>
        <w:gridCol w:w="6860"/>
      </w:tblGrid>
      <w:tr>
        <w:trPr>
          <w:tblHeader w:val="true"/>
        </w:trPr>
        <w:tc>
          <w:tcPr>
            <w:tcW w:type="dxa" w:w="2500"/>
            <w:tcMar>
              <w:top w:w="90" w:type="dxa"/>
              <w:start w:w="110" w:type="dxa"/>
              <w:bottom w:w="90" w:type="dxa"/>
              <w:end w:w="110" w:type="dxa"/>
            </w:tcMar>
            <w:vAlign w:val="center"/>
            <w:shd w:fill="1F6F78"/>
          </w:tcPr>
          <w:p>
            <w:pPr>
              <w:widowControl/>
              <w:spacing w:after="0"/>
              <w:jc w:val="left"/>
            </w:pPr>
            <w:r>
              <w:rPr>
                <w:rFonts w:ascii="Aptos" w:hAnsi="Aptos"/>
                <w:b/>
                <w:i w:val="0"/>
                <w:color w:val="FFFFFF"/>
                <w:sz w:val="17"/>
              </w:rPr>
              <w:t>Item</w:t>
            </w:r>
          </w:p>
        </w:tc>
        <w:tc>
          <w:tcPr>
            <w:tcW w:type="dxa" w:w="6860"/>
            <w:tcMar>
              <w:top w:w="90" w:type="dxa"/>
              <w:start w:w="110" w:type="dxa"/>
              <w:bottom w:w="90" w:type="dxa"/>
              <w:end w:w="110" w:type="dxa"/>
            </w:tcMar>
            <w:vAlign w:val="center"/>
            <w:shd w:fill="1F6F78"/>
          </w:tcPr>
          <w:p>
            <w:pPr>
              <w:widowControl/>
              <w:spacing w:after="0"/>
              <w:jc w:val="left"/>
            </w:pPr>
            <w:r>
              <w:rPr>
                <w:rFonts w:ascii="Aptos" w:hAnsi="Aptos"/>
                <w:b/>
                <w:i w:val="0"/>
                <w:color w:val="FFFFFF"/>
                <w:sz w:val="17"/>
              </w:rPr>
              <w:t>Working rule</w:t>
            </w:r>
          </w:p>
        </w:tc>
      </w:tr>
      <w:tr>
        <w:tc>
          <w:tcPr>
            <w:tcW w:type="dxa" w:w="2500"/>
          </w:tcPr>
          <w:p>
            <w:pPr>
              <w:widowControl/>
              <w:spacing w:after="0"/>
              <w:jc w:val="left"/>
            </w:pPr>
            <w:r>
              <w:rPr>
                <w:rFonts w:ascii="Aptos" w:hAnsi="Aptos"/>
                <w:b w:val="0"/>
                <w:i w:val="0"/>
                <w:color w:val="25313B"/>
                <w:sz w:val="17"/>
              </w:rPr>
              <w:t>System boundary</w:t>
            </w:r>
          </w:p>
        </w:tc>
        <w:tc>
          <w:tcPr>
            <w:tcW w:type="dxa" w:w="6860"/>
          </w:tcPr>
          <w:p>
            <w:pPr>
              <w:widowControl/>
              <w:spacing w:after="0"/>
              <w:jc w:val="left"/>
            </w:pPr>
            <w:r>
              <w:rPr>
                <w:rFonts w:ascii="Aptos" w:hAnsi="Aptos"/>
                <w:b w:val="0"/>
                <w:i w:val="0"/>
                <w:color w:val="25313B"/>
                <w:sz w:val="17"/>
              </w:rPr>
              <w:t>All shelters and rescues licensed by Colorado PACFA</w:t>
            </w:r>
          </w:p>
        </w:tc>
      </w:tr>
      <w:tr>
        <w:tc>
          <w:tcPr>
            <w:tcW w:type="dxa" w:w="2500"/>
            <w:shd w:fill="F5F8F9"/>
          </w:tcPr>
          <w:p>
            <w:pPr>
              <w:widowControl/>
              <w:spacing w:after="0"/>
              <w:jc w:val="left"/>
            </w:pPr>
            <w:r>
              <w:rPr>
                <w:rFonts w:ascii="Aptos" w:hAnsi="Aptos"/>
                <w:b w:val="0"/>
                <w:i w:val="0"/>
                <w:color w:val="25313B"/>
                <w:sz w:val="17"/>
              </w:rPr>
              <w:t>Unit of analysis</w:t>
            </w:r>
          </w:p>
        </w:tc>
        <w:tc>
          <w:tcPr>
            <w:tcW w:type="dxa" w:w="6860"/>
            <w:shd w:fill="F5F8F9"/>
          </w:tcPr>
          <w:p>
            <w:pPr>
              <w:widowControl/>
              <w:spacing w:after="0"/>
              <w:jc w:val="left"/>
            </w:pPr>
            <w:r>
              <w:rPr>
                <w:rFonts w:ascii="Aptos" w:hAnsi="Aptos"/>
                <w:b w:val="0"/>
                <w:i w:val="0"/>
                <w:color w:val="25313B"/>
                <w:sz w:val="17"/>
              </w:rPr>
              <w:t>Facility reporting row and consolidated economic parent; not necessarily a unique animal</w:t>
            </w:r>
          </w:p>
        </w:tc>
      </w:tr>
      <w:tr>
        <w:tc>
          <w:tcPr>
            <w:tcW w:type="dxa" w:w="2500"/>
          </w:tcPr>
          <w:p>
            <w:pPr>
              <w:widowControl/>
              <w:spacing w:after="0"/>
              <w:jc w:val="left"/>
            </w:pPr>
            <w:r>
              <w:rPr>
                <w:rFonts w:ascii="Aptos" w:hAnsi="Aptos"/>
                <w:b w:val="0"/>
                <w:i w:val="0"/>
                <w:color w:val="25313B"/>
                <w:sz w:val="17"/>
              </w:rPr>
              <w:t>Live outcomes</w:t>
            </w:r>
          </w:p>
        </w:tc>
        <w:tc>
          <w:tcPr>
            <w:tcW w:type="dxa" w:w="6860"/>
          </w:tcPr>
          <w:p>
            <w:pPr>
              <w:widowControl/>
              <w:spacing w:after="0"/>
              <w:jc w:val="left"/>
            </w:pPr>
            <w:r>
              <w:rPr>
                <w:rFonts w:ascii="Aptos" w:hAnsi="Aptos"/>
                <w:b w:val="0"/>
                <w:i w:val="0"/>
                <w:color w:val="25313B"/>
                <w:sz w:val="17"/>
              </w:rPr>
              <w:t>Adoption, return to owner, transfer, and other documented outcomes in which the animal remains alive</w:t>
            </w:r>
          </w:p>
        </w:tc>
      </w:tr>
      <w:tr>
        <w:tc>
          <w:tcPr>
            <w:tcW w:type="dxa" w:w="2500"/>
            <w:shd w:fill="F5F8F9"/>
          </w:tcPr>
          <w:p>
            <w:pPr>
              <w:widowControl/>
              <w:spacing w:after="0"/>
              <w:jc w:val="left"/>
            </w:pPr>
            <w:r>
              <w:rPr>
                <w:rFonts w:ascii="Aptos" w:hAnsi="Aptos"/>
                <w:b w:val="0"/>
                <w:i w:val="0"/>
                <w:color w:val="25313B"/>
                <w:sz w:val="17"/>
              </w:rPr>
              <w:t>Non-live outcomes</w:t>
            </w:r>
          </w:p>
        </w:tc>
        <w:tc>
          <w:tcPr>
            <w:tcW w:type="dxa" w:w="6860"/>
            <w:shd w:fill="F5F8F9"/>
          </w:tcPr>
          <w:p>
            <w:pPr>
              <w:widowControl/>
              <w:spacing w:after="0"/>
              <w:jc w:val="left"/>
            </w:pPr>
            <w:r>
              <w:rPr>
                <w:rFonts w:ascii="Aptos" w:hAnsi="Aptos"/>
                <w:b w:val="0"/>
                <w:i w:val="0"/>
                <w:color w:val="25313B"/>
                <w:sz w:val="17"/>
              </w:rPr>
              <w:t>Death in care, killing/euthanasia, and missing/stolen/unaccounted-for status; categories should remain separate when available</w:t>
            </w:r>
          </w:p>
        </w:tc>
      </w:tr>
      <w:tr>
        <w:tc>
          <w:tcPr>
            <w:tcW w:type="dxa" w:w="2500"/>
          </w:tcPr>
          <w:p>
            <w:pPr>
              <w:widowControl/>
              <w:spacing w:after="0"/>
              <w:jc w:val="left"/>
            </w:pPr>
            <w:r>
              <w:rPr>
                <w:rFonts w:ascii="Aptos" w:hAnsi="Aptos"/>
                <w:b w:val="0"/>
                <w:i w:val="0"/>
                <w:color w:val="25313B"/>
                <w:sz w:val="17"/>
              </w:rPr>
              <w:t>Final outcomes</w:t>
            </w:r>
          </w:p>
        </w:tc>
        <w:tc>
          <w:tcPr>
            <w:tcW w:type="dxa" w:w="6860"/>
          </w:tcPr>
          <w:p>
            <w:pPr>
              <w:widowControl/>
              <w:spacing w:after="0"/>
              <w:jc w:val="left"/>
            </w:pPr>
            <w:r>
              <w:rPr>
                <w:rFonts w:ascii="Aptos" w:hAnsi="Aptos"/>
                <w:b w:val="0"/>
                <w:i w:val="0"/>
                <w:color w:val="25313B"/>
                <w:sz w:val="17"/>
              </w:rPr>
              <w:t>Live plus non-live dispositions; excludes animals still in inventory</w:t>
            </w:r>
          </w:p>
        </w:tc>
      </w:tr>
      <w:tr>
        <w:tc>
          <w:tcPr>
            <w:tcW w:type="dxa" w:w="2500"/>
            <w:shd w:fill="F5F8F9"/>
          </w:tcPr>
          <w:p>
            <w:pPr>
              <w:widowControl/>
              <w:spacing w:after="0"/>
              <w:jc w:val="left"/>
            </w:pPr>
            <w:r>
              <w:rPr>
                <w:rFonts w:ascii="Aptos" w:hAnsi="Aptos"/>
                <w:b w:val="0"/>
                <w:i w:val="0"/>
                <w:color w:val="25313B"/>
                <w:sz w:val="17"/>
              </w:rPr>
              <w:t>Live-release rate</w:t>
            </w:r>
          </w:p>
        </w:tc>
        <w:tc>
          <w:tcPr>
            <w:tcW w:type="dxa" w:w="6860"/>
            <w:shd w:fill="F5F8F9"/>
          </w:tcPr>
          <w:p>
            <w:pPr>
              <w:widowControl/>
              <w:spacing w:after="0"/>
              <w:jc w:val="left"/>
            </w:pPr>
            <w:r>
              <w:rPr>
                <w:rFonts w:ascii="Aptos" w:hAnsi="Aptos"/>
                <w:b w:val="0"/>
                <w:i w:val="0"/>
                <w:color w:val="25313B"/>
                <w:sz w:val="17"/>
              </w:rPr>
              <w:t>Live outcomes ÷ final outcomes</w:t>
            </w:r>
          </w:p>
        </w:tc>
      </w:tr>
      <w:tr>
        <w:tc>
          <w:tcPr>
            <w:tcW w:type="dxa" w:w="2500"/>
          </w:tcPr>
          <w:p>
            <w:pPr>
              <w:widowControl/>
              <w:spacing w:after="0"/>
              <w:jc w:val="left"/>
            </w:pPr>
            <w:r>
              <w:rPr>
                <w:rFonts w:ascii="Aptos" w:hAnsi="Aptos"/>
                <w:b w:val="0"/>
                <w:i w:val="0"/>
                <w:color w:val="25313B"/>
                <w:sz w:val="17"/>
              </w:rPr>
              <w:t>Healthy</w:t>
            </w:r>
          </w:p>
        </w:tc>
        <w:tc>
          <w:tcPr>
            <w:tcW w:type="dxa" w:w="6860"/>
          </w:tcPr>
          <w:p>
            <w:pPr>
              <w:widowControl/>
              <w:spacing w:after="0"/>
              <w:jc w:val="left"/>
            </w:pPr>
            <w:r>
              <w:rPr>
                <w:rFonts w:ascii="Aptos" w:hAnsi="Aptos"/>
                <w:b w:val="0"/>
                <w:i w:val="0"/>
                <w:color w:val="25313B"/>
                <w:sz w:val="17"/>
              </w:rPr>
              <w:t>No medical or behavioral condition requiring rehabilitation before placement</w:t>
            </w:r>
          </w:p>
        </w:tc>
      </w:tr>
      <w:tr>
        <w:tc>
          <w:tcPr>
            <w:tcW w:type="dxa" w:w="2500"/>
            <w:shd w:fill="F5F8F9"/>
          </w:tcPr>
          <w:p>
            <w:pPr>
              <w:widowControl/>
              <w:spacing w:after="0"/>
              <w:jc w:val="left"/>
            </w:pPr>
            <w:r>
              <w:rPr>
                <w:rFonts w:ascii="Aptos" w:hAnsi="Aptos"/>
                <w:b w:val="0"/>
                <w:i w:val="0"/>
                <w:color w:val="25313B"/>
                <w:sz w:val="17"/>
              </w:rPr>
              <w:t>Treatable</w:t>
            </w:r>
          </w:p>
        </w:tc>
        <w:tc>
          <w:tcPr>
            <w:tcW w:type="dxa" w:w="6860"/>
            <w:shd w:fill="F5F8F9"/>
          </w:tcPr>
          <w:p>
            <w:pPr>
              <w:widowControl/>
              <w:spacing w:after="0"/>
              <w:jc w:val="left"/>
            </w:pPr>
            <w:r>
              <w:rPr>
                <w:rFonts w:ascii="Aptos" w:hAnsi="Aptos"/>
                <w:b w:val="0"/>
                <w:i w:val="0"/>
                <w:color w:val="25313B"/>
                <w:sz w:val="17"/>
              </w:rPr>
              <w:t>Condition can be cured, controlled, managed, rehabilitated, or accommodated with reasonable care and support</w:t>
            </w:r>
          </w:p>
        </w:tc>
      </w:tr>
      <w:tr>
        <w:tc>
          <w:tcPr>
            <w:tcW w:type="dxa" w:w="2500"/>
          </w:tcPr>
          <w:p>
            <w:pPr>
              <w:widowControl/>
              <w:spacing w:after="0"/>
              <w:jc w:val="left"/>
            </w:pPr>
            <w:r>
              <w:rPr>
                <w:rFonts w:ascii="Aptos" w:hAnsi="Aptos"/>
                <w:b w:val="0"/>
                <w:i w:val="0"/>
                <w:color w:val="25313B"/>
                <w:sz w:val="17"/>
              </w:rPr>
              <w:t>Primary objective</w:t>
            </w:r>
          </w:p>
        </w:tc>
        <w:tc>
          <w:tcPr>
            <w:tcW w:type="dxa" w:w="6860"/>
          </w:tcPr>
          <w:p>
            <w:pPr>
              <w:widowControl/>
              <w:spacing w:after="0"/>
              <w:jc w:val="left"/>
            </w:pPr>
            <w:r>
              <w:rPr>
                <w:rFonts w:ascii="Aptos" w:hAnsi="Aptos"/>
                <w:b w:val="0"/>
                <w:i w:val="0"/>
                <w:color w:val="25313B"/>
                <w:sz w:val="17"/>
              </w:rPr>
              <w:t>Protect every healthy and treatable homeless pet entering the PACFA-licensed system</w:t>
            </w:r>
          </w:p>
        </w:tc>
      </w:tr>
    </w:tbl>
    <w:p>
      <w:pPr>
        <w:widowControl/>
        <w:spacing w:before="40" w:after="160"/>
      </w:pPr>
      <w:r>
        <w:rPr>
          <w:rFonts w:ascii="Aptos" w:hAnsi="Aptos"/>
          <w:b/>
          <w:i w:val="0"/>
          <w:color w:val="5E6B75"/>
          <w:sz w:val="17"/>
        </w:rPr>
        <w:t xml:space="preserve">Evidence note: </w:t>
      </w:r>
      <w:r>
        <w:rPr>
          <w:rFonts w:ascii="Aptos" w:hAnsi="Aptos"/>
          <w:b w:val="0"/>
          <w:i w:val="0"/>
          <w:color w:val="5E6B75"/>
          <w:sz w:val="17"/>
        </w:rPr>
        <w:t>Scope &amp; Definitions sheet and controlling project handoff, Revision 2.</w:t>
      </w:r>
    </w:p>
    <w:p>
      <w:pPr>
        <w:pStyle w:val="Heading1"/>
        <w:keepNext/>
        <w:widowControl/>
      </w:pPr>
      <w:r>
        <w:t>Appendix B — Selected Source Register</w:t>
      </w:r>
    </w:p>
    <w:p>
      <w:pPr>
        <w:widowControl/>
        <w:spacing w:after="100"/>
      </w:pPr>
      <w:r>
        <w:rPr>
          <w:rFonts w:ascii="Aptos" w:hAnsi="Aptos"/>
          <w:b/>
          <w:i w:val="0"/>
          <w:color w:val="18324A"/>
          <w:sz w:val="17"/>
        </w:rPr>
        <w:t xml:space="preserve">PACFA-2024-IND: </w:t>
      </w:r>
      <w:r>
        <w:rPr>
          <w:rFonts w:ascii="Aptos" w:hAnsi="Aptos"/>
          <w:b w:val="0"/>
          <w:i w:val="0"/>
          <w:color w:val="25313B"/>
          <w:sz w:val="17"/>
        </w:rPr>
        <w:t>2024 Colorado Animal Shelter and Rescue Individual Report.xlsx</w:t>
      </w:r>
    </w:p>
    <w:p>
      <w:pPr>
        <w:widowControl/>
        <w:spacing w:after="100"/>
      </w:pPr>
      <w:r>
        <w:rPr>
          <w:rFonts w:ascii="Aptos" w:hAnsi="Aptos"/>
          <w:b/>
          <w:i w:val="0"/>
          <w:color w:val="18324A"/>
          <w:sz w:val="17"/>
        </w:rPr>
        <w:t xml:space="preserve">PACFA-2025-IND: </w:t>
      </w:r>
      <w:r>
        <w:rPr>
          <w:rFonts w:ascii="Aptos" w:hAnsi="Aptos"/>
          <w:b w:val="0"/>
          <w:i w:val="0"/>
          <w:color w:val="25313B"/>
          <w:sz w:val="17"/>
        </w:rPr>
        <w:t>2025 Colorado Animal Shelter and Rescue Individual Statistics dataset</w:t>
      </w:r>
    </w:p>
    <w:p>
      <w:pPr>
        <w:widowControl/>
        <w:spacing w:after="100"/>
      </w:pPr>
      <w:r>
        <w:rPr>
          <w:rFonts w:ascii="Aptos" w:hAnsi="Aptos"/>
          <w:b/>
          <w:i w:val="0"/>
          <w:color w:val="18324A"/>
          <w:sz w:val="17"/>
        </w:rPr>
        <w:t xml:space="preserve">FIN-HSPPR-AUD-2024: </w:t>
      </w:r>
      <w:hyperlink r:id="rId13">
        <w:r>
          <w:rPr>
            <w:color w:val="1F6F78"/>
            <w:u w:val="single"/>
            <w:sz w:val="19"/>
          </w:rPr>
          <w:t>HSPPR 2024 audited financial statements</w:t>
        </w:r>
      </w:hyperlink>
    </w:p>
    <w:p>
      <w:pPr>
        <w:widowControl/>
        <w:spacing w:after="100"/>
      </w:pPr>
      <w:r>
        <w:rPr>
          <w:rFonts w:ascii="Aptos" w:hAnsi="Aptos"/>
          <w:b/>
          <w:i w:val="0"/>
          <w:color w:val="18324A"/>
          <w:sz w:val="17"/>
        </w:rPr>
        <w:t xml:space="preserve">FIN-HC-AUD-2024: </w:t>
      </w:r>
      <w:hyperlink r:id="rId14">
        <w:r>
          <w:rPr>
            <w:color w:val="1F6F78"/>
            <w:u w:val="single"/>
            <w:sz w:val="19"/>
          </w:rPr>
          <w:t>Humane Colorado / Denver Dumb Friends League FY2024 audited statements</w:t>
        </w:r>
      </w:hyperlink>
    </w:p>
    <w:p>
      <w:pPr>
        <w:widowControl/>
        <w:spacing w:after="100"/>
      </w:pPr>
      <w:r>
        <w:rPr>
          <w:rFonts w:ascii="Aptos" w:hAnsi="Aptos"/>
          <w:b/>
          <w:i w:val="0"/>
          <w:color w:val="18324A"/>
          <w:sz w:val="17"/>
        </w:rPr>
        <w:t xml:space="preserve">FIN-NOCO-AUD-2025: </w:t>
      </w:r>
      <w:hyperlink r:id="rId15">
        <w:r>
          <w:rPr>
            <w:color w:val="1F6F78"/>
            <w:u w:val="single"/>
            <w:sz w:val="19"/>
          </w:rPr>
          <w:t>NOCO Humane FY2025 audited statements</w:t>
        </w:r>
      </w:hyperlink>
    </w:p>
    <w:p>
      <w:pPr>
        <w:widowControl/>
        <w:spacing w:after="100"/>
      </w:pPr>
      <w:r>
        <w:rPr>
          <w:rFonts w:ascii="Aptos" w:hAnsi="Aptos"/>
          <w:b/>
          <w:i w:val="0"/>
          <w:color w:val="18324A"/>
          <w:sz w:val="17"/>
        </w:rPr>
        <w:t xml:space="preserve">FIN-FOOTHILLS-AUD-2024: </w:t>
      </w:r>
      <w:hyperlink r:id="rId16">
        <w:r>
          <w:rPr>
            <w:color w:val="1F6F78"/>
            <w:u w:val="single"/>
            <w:sz w:val="19"/>
          </w:rPr>
          <w:t>Foothills Animal Shelter 2024 financial statements</w:t>
        </w:r>
      </w:hyperlink>
    </w:p>
    <w:p>
      <w:pPr>
        <w:widowControl/>
        <w:spacing w:after="100"/>
      </w:pPr>
      <w:r>
        <w:rPr>
          <w:rFonts w:ascii="Aptos" w:hAnsi="Aptos"/>
          <w:b/>
          <w:i w:val="0"/>
          <w:color w:val="18324A"/>
          <w:sz w:val="17"/>
        </w:rPr>
        <w:t xml:space="preserve">FIN-DENVER-BUD-2025: </w:t>
      </w:r>
      <w:hyperlink r:id="rId17">
        <w:r>
          <w:rPr>
            <w:color w:val="1F6F78"/>
            <w:u w:val="single"/>
            <w:sz w:val="19"/>
          </w:rPr>
          <w:t>City and County of Denver Final 2025 Budget</w:t>
        </w:r>
      </w:hyperlink>
    </w:p>
    <w:p>
      <w:pPr>
        <w:widowControl/>
        <w:spacing w:after="100"/>
      </w:pPr>
      <w:r>
        <w:rPr>
          <w:rFonts w:ascii="Aptos" w:hAnsi="Aptos"/>
          <w:b/>
          <w:i w:val="0"/>
          <w:color w:val="18324A"/>
          <w:sz w:val="17"/>
        </w:rPr>
        <w:t xml:space="preserve">FIN-DENVER-ACFR-2025: </w:t>
      </w:r>
      <w:hyperlink r:id="rId18">
        <w:r>
          <w:rPr>
            <w:color w:val="1F6F78"/>
            <w:u w:val="single"/>
            <w:sz w:val="19"/>
          </w:rPr>
          <w:t>City and County of Denver 2025 ACFR</w:t>
        </w:r>
      </w:hyperlink>
    </w:p>
    <w:p>
      <w:pPr>
        <w:widowControl/>
        <w:spacing w:after="100"/>
      </w:pPr>
      <w:r>
        <w:rPr>
          <w:rFonts w:ascii="Aptos" w:hAnsi="Aptos"/>
          <w:b/>
          <w:i w:val="0"/>
          <w:color w:val="18324A"/>
          <w:sz w:val="17"/>
        </w:rPr>
        <w:t xml:space="preserve">FIN-DENVER-DETAIL-2025: </w:t>
      </w:r>
      <w:hyperlink r:id="rId19">
        <w:r>
          <w:rPr>
            <w:color w:val="1F6F78"/>
            <w:u w:val="single"/>
            <w:sz w:val="19"/>
          </w:rPr>
          <w:t>Transparent Denver detailed expenditures</w:t>
        </w:r>
      </w:hyperlink>
    </w:p>
    <w:p>
      <w:pPr>
        <w:widowControl/>
        <w:spacing w:after="100"/>
      </w:pPr>
      <w:r>
        <w:rPr>
          <w:rFonts w:ascii="Aptos" w:hAnsi="Aptos"/>
          <w:b/>
          <w:i w:val="0"/>
          <w:color w:val="18324A"/>
          <w:sz w:val="17"/>
        </w:rPr>
        <w:t xml:space="preserve">FIN-RIVERDALE-2026: </w:t>
      </w:r>
      <w:hyperlink r:id="rId20">
        <w:r>
          <w:rPr>
            <w:color w:val="1F6F78"/>
            <w:u w:val="single"/>
            <w:sz w:val="19"/>
          </w:rPr>
          <w:t>Adams County 2026 budget / Riverdale 2025 amended table</w:t>
        </w:r>
      </w:hyperlink>
    </w:p>
    <w:p>
      <w:pPr>
        <w:widowControl/>
        <w:spacing w:after="100"/>
      </w:pPr>
      <w:r>
        <w:rPr>
          <w:rFonts w:ascii="Aptos" w:hAnsi="Aptos"/>
          <w:b/>
          <w:i w:val="0"/>
          <w:color w:val="18324A"/>
          <w:sz w:val="17"/>
        </w:rPr>
        <w:t xml:space="preserve">FIN-AURORA-BUD-2026: </w:t>
      </w:r>
      <w:hyperlink r:id="rId21">
        <w:r>
          <w:rPr>
            <w:color w:val="1F6F78"/>
            <w:u w:val="single"/>
            <w:sz w:val="19"/>
          </w:rPr>
          <w:t>Aurora 2026 adopted budget / Animal Services 2025 projection</w:t>
        </w:r>
      </w:hyperlink>
    </w:p>
    <w:p>
      <w:pPr>
        <w:widowControl/>
        <w:spacing w:after="100"/>
      </w:pPr>
      <w:r>
        <w:rPr>
          <w:rFonts w:ascii="Aptos" w:hAnsi="Aptos"/>
          <w:b/>
          <w:i w:val="0"/>
          <w:color w:val="18324A"/>
          <w:sz w:val="17"/>
        </w:rPr>
        <w:t xml:space="preserve">FIN-HSBV-AUD-2024: </w:t>
      </w:r>
      <w:hyperlink r:id="rId22">
        <w:r>
          <w:rPr>
            <w:color w:val="1F6F78"/>
            <w:u w:val="single"/>
            <w:sz w:val="19"/>
          </w:rPr>
          <w:t>Humane Society of Boulder Valley 2024 audited statements</w:t>
        </w:r>
      </w:hyperlink>
    </w:p>
    <w:p>
      <w:pPr>
        <w:widowControl/>
        <w:spacing w:after="100"/>
      </w:pPr>
      <w:r>
        <w:rPr>
          <w:rFonts w:ascii="Aptos" w:hAnsi="Aptos"/>
          <w:b/>
          <w:i w:val="0"/>
          <w:color w:val="18324A"/>
          <w:sz w:val="17"/>
        </w:rPr>
        <w:t xml:space="preserve">FIN-AFA-AUD-2025: </w:t>
      </w:r>
      <w:hyperlink r:id="rId23">
        <w:r>
          <w:rPr>
            <w:color w:val="1F6F78"/>
            <w:u w:val="single"/>
            <w:sz w:val="19"/>
          </w:rPr>
          <w:t>Animal Friends Alliance 2025 audit</w:t>
        </w:r>
      </w:hyperlink>
    </w:p>
    <w:p>
      <w:pPr>
        <w:widowControl/>
        <w:spacing w:after="100"/>
      </w:pPr>
      <w:r>
        <w:rPr>
          <w:rFonts w:ascii="Aptos" w:hAnsi="Aptos"/>
          <w:b/>
          <w:i w:val="0"/>
          <w:color w:val="18324A"/>
          <w:sz w:val="17"/>
        </w:rPr>
        <w:t xml:space="preserve">FIN-LAPLA-990-2024: </w:t>
      </w:r>
      <w:hyperlink r:id="rId24">
        <w:r>
          <w:rPr>
            <w:color w:val="1F6F78"/>
            <w:u w:val="single"/>
            <w:sz w:val="19"/>
          </w:rPr>
          <w:t>La Plata County Humane Society complete 2024 Form 990</w:t>
        </w:r>
      </w:hyperlink>
    </w:p>
    <w:p>
      <w:pPr>
        <w:widowControl/>
        <w:spacing w:after="100"/>
      </w:pPr>
      <w:r>
        <w:rPr>
          <w:rFonts w:ascii="Aptos" w:hAnsi="Aptos"/>
          <w:b/>
          <w:i w:val="0"/>
          <w:color w:val="18324A"/>
          <w:sz w:val="17"/>
        </w:rPr>
        <w:t xml:space="preserve">FIN-SOULDOG-990-2024: </w:t>
      </w:r>
      <w:hyperlink r:id="rId25">
        <w:r>
          <w:rPr>
            <w:color w:val="1F6F78"/>
            <w:u w:val="single"/>
            <w:sz w:val="19"/>
          </w:rPr>
          <w:t>Soul Dog Rescue complete 2024 Form 990</w:t>
        </w:r>
      </w:hyperlink>
    </w:p>
    <w:sectPr w:rsidR="00FC693F" w:rsidRPr="0006063C" w:rsidSect="00034616">
      <w:headerReference w:type="default" r:id="rId9"/>
      <w:footerReference w:type="default" r:id="rId10"/>
      <w:pgSz w:w="12240" w:h="15840"/>
      <w:pgMar w:top="1181" w:right="1440" w:bottom="1080"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dxa" w:w="9360"/>
      <w:jc w:val="center"/>
      <w:tblLayout w:type="fixed"/>
      <w:tblLook w:firstColumn="1" w:firstRow="1" w:lastColumn="0" w:lastRow="0" w:noHBand="0" w:noVBand="1" w:val="04A0"/>
      <w:tblBorders>
        <w:top w:val="nil"/>
        <w:left w:val="nil"/>
        <w:bottom w:val="nil"/>
        <w:right w:val="nil"/>
        <w:insideH w:val="nil"/>
        <w:insideV w:val="nil"/>
      </w:tblBorders>
    </w:tblPr>
    <w:tblGrid>
      <w:gridCol w:w="7500"/>
      <w:gridCol w:w="1860"/>
    </w:tblGrid>
    <w:tr>
      <w:trPr>
        <w:tblHeader w:val="true"/>
      </w:trPr>
      <w:tc>
        <w:tcPr>
          <w:tcW w:type="dxa" w:w="7500"/>
          <w:tcMar>
            <w:top w:w="90" w:type="dxa"/>
            <w:start w:w="110" w:type="dxa"/>
            <w:bottom w:w="90" w:type="dxa"/>
            <w:end w:w="110" w:type="dxa"/>
          </w:tcMar>
          <w:vAlign w:val="center"/>
        </w:tcPr>
        <w:p>
          <w:pPr>
            <w:jc w:val="left"/>
          </w:pPr>
          <w:r>
            <w:rPr>
              <w:rFonts w:ascii="Aptos" w:hAnsi="Aptos"/>
              <w:b w:val="0"/>
              <w:i w:val="0"/>
              <w:color w:val="5E6B75"/>
              <w:sz w:val="17"/>
            </w:rPr>
            <w:t>Independent research by Davyd  •  July 24, 2026</w:t>
          </w:r>
        </w:p>
      </w:tc>
      <w:tc>
        <w:tcPr>
          <w:tcW w:type="dxa" w:w="1860"/>
          <w:tcMar>
            <w:top w:w="90" w:type="dxa"/>
            <w:start w:w="110" w:type="dxa"/>
            <w:bottom w:w="90" w:type="dxa"/>
            <w:end w:w="110" w:type="dxa"/>
          </w:tcMar>
          <w:vAlign w:val="center"/>
        </w:tcPr>
        <w:p>
          <w:pPr>
            <w:jc w:val="right"/>
          </w:pPr>
          <w:r>
            <w:rPr>
              <w:rFonts w:ascii="Aptos" w:hAnsi="Aptos"/>
              <w:b w:val="0"/>
              <w:i w:val="0"/>
              <w:color w:val="5E6B75"/>
              <w:sz w:val="17"/>
            </w:rPr>
            <w:t xml:space="preserve">Page </w:t>
          </w:r>
          <w:r>
            <w:rPr>
              <w:rFonts w:ascii="Aptos" w:hAnsi="Aptos"/>
              <w:b w:val="0"/>
              <w:i w:val="0"/>
              <w:color w:val="5E6B75"/>
              <w:sz w:val="18"/>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5E6B75"/>
        <w:sz w:val="17"/>
      </w:rPr>
      <w:t>COLORADO SHELTER SYSTEM  |  INTERIM EVIDENCE REPORT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ptos" w:hAnsi="Aptos"/>
      <w:color w:val="2531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18324A"/>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1F6F78"/>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18324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9" w:lineRule="auto"/>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hsppr.org/wp-content/uploads/HumaneSociety24-Long-FINAL.pdf" TargetMode="External"/><Relationship Id="rId14" Type="http://schemas.openxmlformats.org/officeDocument/2006/relationships/hyperlink" Target="https://humanecolorado.org/wp-content/uploads/2025/02/Denver-Dumb-Friends-League-2024-Financial-Statements.pdf" TargetMode="External"/><Relationship Id="rId15" Type="http://schemas.openxmlformats.org/officeDocument/2006/relationships/hyperlink" Target="https://www.nocohumane.org/wp-content/uploads/2025/12/NOCO-Humane-Financial-Statements-6.30.2025.pdf" TargetMode="External"/><Relationship Id="rId16" Type="http://schemas.openxmlformats.org/officeDocument/2006/relationships/hyperlink" Target="https://foothillsanimalshelter.org/wp-content/uploads/2025/09/2024-Foothills-Animal-Shelter-FS.pdf" TargetMode="External"/><Relationship Id="rId17" Type="http://schemas.openxmlformats.org/officeDocument/2006/relationships/hyperlink" Target="https://www.denvergov.org/files/assets/public/v/1/finance/documents/budget/2025/city-and-county-of-denver-mayors-2025-budget_final_1.25.pdf" TargetMode="External"/><Relationship Id="rId18" Type="http://schemas.openxmlformats.org/officeDocument/2006/relationships/hyperlink" Target="https://www.denvergov.org/files/assets/public/v/1/finance/documents/financial-reports/acfr/ccd-2025-acfr.pdf" TargetMode="External"/><Relationship Id="rId19" Type="http://schemas.openxmlformats.org/officeDocument/2006/relationships/hyperlink" Target="https://www.denvergov.org/Government/Legislation-and-Transparency/Transparent-Denver/City-Expenditures" TargetMode="External"/><Relationship Id="rId20" Type="http://schemas.openxmlformats.org/officeDocument/2006/relationships/hyperlink" Target="https://stories.opengov.com/adamscountyco/published/X2z4cXefmv" TargetMode="External"/><Relationship Id="rId21" Type="http://schemas.openxmlformats.org/officeDocument/2006/relationships/hyperlink" Target="https://www.auroragov.org/common/pages/GetFile.ashx?key=1%2f5CAWoA" TargetMode="External"/><Relationship Id="rId22" Type="http://schemas.openxmlformats.org/officeDocument/2006/relationships/hyperlink" Target="https://boulderhumane.org/wp-content/uploads/2025/08/Humane-Society-Boulder-FS-2024-secured.pdf" TargetMode="External"/><Relationship Id="rId23" Type="http://schemas.openxmlformats.org/officeDocument/2006/relationships/hyperlink" Target="https://static1.squarespace.com/static/6949a002bbf88843699a4488/t/6a46f776c702ba2012af1057/1783035767313/Animal+Friends+Alliance+2025+Audit+Report.pdf" TargetMode="External"/><Relationship Id="rId24" Type="http://schemas.openxmlformats.org/officeDocument/2006/relationships/hyperlink" Target="https://projects.propublica.org/nonprofits/organizations/237274035/202502679349300635/full" TargetMode="External"/><Relationship Id="rId25" Type="http://schemas.openxmlformats.org/officeDocument/2006/relationships/hyperlink" Target="https://projects.propublica.org/nonprofits/organizations/454137227/202513229349300606/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Shelter System Interim Evidence Report</dc:title>
  <dc:subject>Verified 2024–2025 PACFA outcomes, financial evidence, data gaps, and interim recommendations</dc:subject>
  <dc:creator>Davyd</dc:creator>
  <cp:keywords>Colorado, PACFA, animal shelters, rescues, outcomes, financial evidence</cp:keywords>
  <dc:description>generated by python-docx</dc:description>
  <cp:lastModifiedBy/>
  <cp:revision>1</cp:revision>
  <dcterms:created xsi:type="dcterms:W3CDTF">2013-12-23T23:15:00Z</dcterms:created>
  <dcterms:modified xsi:type="dcterms:W3CDTF">2013-12-23T23:15:00Z</dcterms:modified>
  <cp:category/>
</cp:coreProperties>
</file>